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0DDD" w14:textId="6C4306DC" w:rsidR="009A3613" w:rsidRPr="00726A2F" w:rsidRDefault="00726A2F" w:rsidP="009A3613">
      <w:pPr>
        <w:pStyle w:val="Title"/>
        <w:rPr>
          <w:rFonts w:ascii="Palatino Linotype" w:hAnsi="Palatino Linotype"/>
          <w:szCs w:val="30"/>
        </w:rPr>
      </w:pPr>
      <w:proofErr w:type="spellStart"/>
      <w:r>
        <w:rPr>
          <w:rFonts w:ascii="Palatino Linotype" w:hAnsi="Palatino Linotype"/>
          <w:szCs w:val="30"/>
        </w:rPr>
        <w:t>Harmonizaton</w:t>
      </w:r>
      <w:proofErr w:type="spellEnd"/>
      <w:r>
        <w:rPr>
          <w:rFonts w:ascii="Palatino Linotype" w:hAnsi="Palatino Linotype"/>
          <w:szCs w:val="30"/>
        </w:rPr>
        <w:t xml:space="preserve"> </w:t>
      </w:r>
      <w:proofErr w:type="spellStart"/>
      <w:r>
        <w:rPr>
          <w:rFonts w:ascii="Palatino Linotype" w:hAnsi="Palatino Linotype"/>
          <w:szCs w:val="30"/>
        </w:rPr>
        <w:t>of</w:t>
      </w:r>
      <w:proofErr w:type="spellEnd"/>
      <w:r>
        <w:rPr>
          <w:rFonts w:ascii="Palatino Linotype" w:hAnsi="Palatino Linotype"/>
          <w:szCs w:val="30"/>
        </w:rPr>
        <w:t xml:space="preserve"> </w:t>
      </w:r>
      <w:proofErr w:type="spellStart"/>
      <w:r>
        <w:rPr>
          <w:rFonts w:ascii="Palatino Linotype" w:hAnsi="Palatino Linotype"/>
          <w:i/>
          <w:iCs/>
          <w:szCs w:val="30"/>
        </w:rPr>
        <w:t>Judicial</w:t>
      </w:r>
      <w:proofErr w:type="spellEnd"/>
      <w:r>
        <w:rPr>
          <w:rFonts w:ascii="Palatino Linotype" w:hAnsi="Palatino Linotype"/>
          <w:i/>
          <w:iCs/>
          <w:szCs w:val="30"/>
        </w:rPr>
        <w:t xml:space="preserve"> </w:t>
      </w:r>
      <w:proofErr w:type="spellStart"/>
      <w:r>
        <w:rPr>
          <w:rFonts w:ascii="Palatino Linotype" w:hAnsi="Palatino Linotype"/>
          <w:i/>
          <w:iCs/>
          <w:szCs w:val="30"/>
        </w:rPr>
        <w:t>Pardon</w:t>
      </w:r>
      <w:proofErr w:type="spellEnd"/>
      <w:r>
        <w:rPr>
          <w:rFonts w:ascii="Palatino Linotype" w:hAnsi="Palatino Linotype"/>
          <w:szCs w:val="30"/>
        </w:rPr>
        <w:t xml:space="preserve"> in The 2023 </w:t>
      </w:r>
      <w:proofErr w:type="spellStart"/>
      <w:r>
        <w:rPr>
          <w:rFonts w:ascii="Palatino Linotype" w:hAnsi="Palatino Linotype"/>
          <w:szCs w:val="30"/>
        </w:rPr>
        <w:t>Criminal</w:t>
      </w:r>
      <w:proofErr w:type="spellEnd"/>
      <w:r>
        <w:rPr>
          <w:rFonts w:ascii="Palatino Linotype" w:hAnsi="Palatino Linotype"/>
          <w:szCs w:val="30"/>
        </w:rPr>
        <w:t xml:space="preserve"> Code and </w:t>
      </w:r>
      <w:proofErr w:type="spellStart"/>
      <w:r>
        <w:rPr>
          <w:rFonts w:ascii="Palatino Linotype" w:hAnsi="Palatino Linotype"/>
          <w:szCs w:val="30"/>
        </w:rPr>
        <w:t>Criminal</w:t>
      </w:r>
      <w:proofErr w:type="spellEnd"/>
      <w:r>
        <w:rPr>
          <w:rFonts w:ascii="Palatino Linotype" w:hAnsi="Palatino Linotype"/>
          <w:szCs w:val="30"/>
        </w:rPr>
        <w:t xml:space="preserve"> </w:t>
      </w:r>
      <w:proofErr w:type="spellStart"/>
      <w:r>
        <w:rPr>
          <w:rFonts w:ascii="Palatino Linotype" w:hAnsi="Palatino Linotype"/>
          <w:szCs w:val="30"/>
        </w:rPr>
        <w:t>Procedure</w:t>
      </w:r>
      <w:proofErr w:type="spellEnd"/>
      <w:r>
        <w:rPr>
          <w:rFonts w:ascii="Palatino Linotype" w:hAnsi="Palatino Linotype"/>
          <w:szCs w:val="30"/>
        </w:rPr>
        <w:t xml:space="preserve"> Code: </w:t>
      </w:r>
      <w:proofErr w:type="spellStart"/>
      <w:r>
        <w:rPr>
          <w:rFonts w:ascii="Palatino Linotype" w:hAnsi="Palatino Linotype"/>
          <w:szCs w:val="30"/>
        </w:rPr>
        <w:t>Normative</w:t>
      </w:r>
      <w:proofErr w:type="spellEnd"/>
      <w:r>
        <w:rPr>
          <w:rFonts w:ascii="Palatino Linotype" w:hAnsi="Palatino Linotype"/>
          <w:szCs w:val="30"/>
        </w:rPr>
        <w:t xml:space="preserve"> </w:t>
      </w:r>
      <w:proofErr w:type="spellStart"/>
      <w:r>
        <w:rPr>
          <w:rFonts w:ascii="Palatino Linotype" w:hAnsi="Palatino Linotype"/>
          <w:szCs w:val="30"/>
        </w:rPr>
        <w:t>Criticism</w:t>
      </w:r>
      <w:proofErr w:type="spellEnd"/>
      <w:r>
        <w:rPr>
          <w:rFonts w:ascii="Palatino Linotype" w:hAnsi="Palatino Linotype"/>
          <w:szCs w:val="30"/>
        </w:rPr>
        <w:t xml:space="preserve"> </w:t>
      </w:r>
      <w:proofErr w:type="spellStart"/>
      <w:r>
        <w:rPr>
          <w:rFonts w:ascii="Palatino Linotype" w:hAnsi="Palatino Linotype"/>
          <w:szCs w:val="30"/>
        </w:rPr>
        <w:t>of</w:t>
      </w:r>
      <w:proofErr w:type="spellEnd"/>
      <w:r>
        <w:rPr>
          <w:rFonts w:ascii="Palatino Linotype" w:hAnsi="Palatino Linotype"/>
          <w:szCs w:val="30"/>
        </w:rPr>
        <w:t xml:space="preserve"> </w:t>
      </w:r>
      <w:proofErr w:type="spellStart"/>
      <w:r>
        <w:rPr>
          <w:rFonts w:ascii="Palatino Linotype" w:hAnsi="Palatino Linotype"/>
          <w:szCs w:val="30"/>
        </w:rPr>
        <w:t>the</w:t>
      </w:r>
      <w:proofErr w:type="spellEnd"/>
      <w:r>
        <w:rPr>
          <w:rFonts w:ascii="Palatino Linotype" w:hAnsi="Palatino Linotype"/>
          <w:szCs w:val="30"/>
        </w:rPr>
        <w:t xml:space="preserve"> Design </w:t>
      </w:r>
      <w:proofErr w:type="spellStart"/>
      <w:r>
        <w:rPr>
          <w:rFonts w:ascii="Palatino Linotype" w:hAnsi="Palatino Linotype"/>
          <w:szCs w:val="30"/>
        </w:rPr>
        <w:t>of</w:t>
      </w:r>
      <w:proofErr w:type="spellEnd"/>
      <w:r>
        <w:rPr>
          <w:rFonts w:ascii="Palatino Linotype" w:hAnsi="Palatino Linotype"/>
          <w:szCs w:val="30"/>
        </w:rPr>
        <w:t xml:space="preserve"> </w:t>
      </w:r>
      <w:proofErr w:type="spellStart"/>
      <w:r>
        <w:rPr>
          <w:rFonts w:ascii="Palatino Linotype" w:hAnsi="Palatino Linotype"/>
          <w:szCs w:val="30"/>
        </w:rPr>
        <w:t>Indonesia’s</w:t>
      </w:r>
      <w:proofErr w:type="spellEnd"/>
      <w:r>
        <w:rPr>
          <w:rFonts w:ascii="Palatino Linotype" w:hAnsi="Palatino Linotype"/>
          <w:szCs w:val="30"/>
        </w:rPr>
        <w:t xml:space="preserve"> Modern </w:t>
      </w:r>
      <w:proofErr w:type="spellStart"/>
      <w:r>
        <w:rPr>
          <w:rFonts w:ascii="Palatino Linotype" w:hAnsi="Palatino Linotype"/>
          <w:szCs w:val="30"/>
        </w:rPr>
        <w:t>Penal</w:t>
      </w:r>
      <w:proofErr w:type="spellEnd"/>
      <w:r>
        <w:rPr>
          <w:rFonts w:ascii="Palatino Linotype" w:hAnsi="Palatino Linotype"/>
          <w:szCs w:val="30"/>
        </w:rPr>
        <w:t xml:space="preserve"> System</w:t>
      </w:r>
    </w:p>
    <w:p w14:paraId="23FAB3D3" w14:textId="77777777" w:rsidR="009A3613" w:rsidRPr="002B49EF" w:rsidRDefault="009A3613" w:rsidP="009A3613">
      <w:pPr>
        <w:rPr>
          <w:rFonts w:ascii="Palatino Linotype" w:hAnsi="Palatino Linotype"/>
          <w:b/>
        </w:rPr>
      </w:pPr>
    </w:p>
    <w:p w14:paraId="63D165A4" w14:textId="186D5D00" w:rsidR="009A3613" w:rsidRPr="002B49EF" w:rsidRDefault="00726A2F" w:rsidP="009A3613">
      <w:pPr>
        <w:jc w:val="center"/>
        <w:rPr>
          <w:rFonts w:ascii="Palatino Linotype" w:hAnsi="Palatino Linotype"/>
          <w:b/>
        </w:rPr>
      </w:pPr>
      <w:r>
        <w:rPr>
          <w:rFonts w:ascii="Palatino Linotype" w:hAnsi="Palatino Linotype"/>
          <w:b/>
        </w:rPr>
        <w:t>Putu Kanitha Putri Amaris</w:t>
      </w:r>
      <w:r w:rsidR="009A3613" w:rsidRPr="002B49EF">
        <w:rPr>
          <w:rFonts w:ascii="Palatino Linotype" w:hAnsi="Palatino Linotype"/>
          <w:b/>
          <w:vertAlign w:val="superscript"/>
        </w:rPr>
        <w:t>1</w:t>
      </w:r>
      <w:r w:rsidR="009A3613" w:rsidRPr="002B49EF">
        <w:rPr>
          <w:rFonts w:ascii="Palatino Linotype" w:hAnsi="Palatino Linotype"/>
          <w:b/>
        </w:rPr>
        <w:t xml:space="preserve">, </w:t>
      </w:r>
      <w:r w:rsidR="002544DF">
        <w:rPr>
          <w:rFonts w:ascii="Palatino Linotype" w:hAnsi="Palatino Linotype"/>
          <w:b/>
        </w:rPr>
        <w:t>Diah Ratna Sari Haryanto</w:t>
      </w:r>
      <w:r w:rsidR="009A3613" w:rsidRPr="002B49EF">
        <w:rPr>
          <w:rFonts w:ascii="Palatino Linotype" w:hAnsi="Palatino Linotype"/>
          <w:b/>
          <w:vertAlign w:val="superscript"/>
        </w:rPr>
        <w:t>2</w:t>
      </w:r>
      <w:r w:rsidR="009A3613" w:rsidRPr="002B49EF">
        <w:rPr>
          <w:rFonts w:ascii="Palatino Linotype" w:hAnsi="Palatino Linotype"/>
          <w:b/>
        </w:rPr>
        <w:t xml:space="preserve"> </w:t>
      </w:r>
    </w:p>
    <w:p w14:paraId="7335230F" w14:textId="534589C0" w:rsidR="009A3613" w:rsidRPr="002B49EF" w:rsidRDefault="009A3613" w:rsidP="009A3613">
      <w:pPr>
        <w:jc w:val="center"/>
        <w:rPr>
          <w:rFonts w:ascii="Palatino Linotype" w:hAnsi="Palatino Linotype"/>
          <w:sz w:val="18"/>
          <w:szCs w:val="18"/>
        </w:rPr>
      </w:pPr>
      <w:r w:rsidRPr="002B49EF">
        <w:rPr>
          <w:rFonts w:ascii="Palatino Linotype" w:hAnsi="Palatino Linotype"/>
          <w:sz w:val="18"/>
          <w:szCs w:val="18"/>
          <w:vertAlign w:val="superscript"/>
        </w:rPr>
        <w:t>1</w:t>
      </w:r>
      <w:r w:rsidRPr="002B49EF">
        <w:rPr>
          <w:rFonts w:ascii="Palatino Linotype" w:hAnsi="Palatino Linotype"/>
        </w:rPr>
        <w:t xml:space="preserve"> </w:t>
      </w:r>
      <w:r w:rsidR="002544DF">
        <w:rPr>
          <w:rFonts w:ascii="Palatino Linotype" w:hAnsi="Palatino Linotype"/>
          <w:sz w:val="18"/>
          <w:szCs w:val="18"/>
        </w:rPr>
        <w:t>Udayana University</w:t>
      </w:r>
      <w:r w:rsidR="00CA14E2">
        <w:rPr>
          <w:rFonts w:ascii="Palatino Linotype" w:hAnsi="Palatino Linotype"/>
          <w:sz w:val="18"/>
          <w:szCs w:val="18"/>
        </w:rPr>
        <w:t xml:space="preserve"> and </w:t>
      </w:r>
      <w:hyperlink r:id="rId7" w:history="1">
        <w:r w:rsidR="00CA14E2" w:rsidRPr="00605479">
          <w:rPr>
            <w:rStyle w:val="Hyperlink"/>
            <w:rFonts w:ascii="Palatino Linotype" w:hAnsi="Palatino Linotype"/>
            <w:sz w:val="18"/>
            <w:szCs w:val="18"/>
          </w:rPr>
          <w:t>Khanitaamaris02@gmail.com</w:t>
        </w:r>
      </w:hyperlink>
      <w:r w:rsidR="002544DF">
        <w:rPr>
          <w:rFonts w:ascii="Palatino Linotype" w:hAnsi="Palatino Linotype"/>
          <w:sz w:val="18"/>
          <w:szCs w:val="18"/>
        </w:rPr>
        <w:t xml:space="preserve"> </w:t>
      </w:r>
      <w:r>
        <w:rPr>
          <w:rFonts w:ascii="Palatino Linotype" w:hAnsi="Palatino Linotype"/>
          <w:sz w:val="18"/>
          <w:szCs w:val="18"/>
        </w:rPr>
        <w:t xml:space="preserve"> </w:t>
      </w:r>
    </w:p>
    <w:p w14:paraId="588EF886" w14:textId="1C05752F" w:rsidR="009A3613" w:rsidRPr="002B49EF" w:rsidRDefault="009A3613" w:rsidP="009A3613">
      <w:pPr>
        <w:jc w:val="center"/>
        <w:rPr>
          <w:rFonts w:ascii="Palatino Linotype" w:hAnsi="Palatino Linotype"/>
          <w:sz w:val="18"/>
          <w:szCs w:val="18"/>
        </w:rPr>
      </w:pPr>
      <w:r w:rsidRPr="002B49EF">
        <w:rPr>
          <w:rFonts w:ascii="Palatino Linotype" w:hAnsi="Palatino Linotype"/>
          <w:sz w:val="18"/>
          <w:szCs w:val="18"/>
          <w:vertAlign w:val="superscript"/>
        </w:rPr>
        <w:t>2</w:t>
      </w:r>
      <w:r w:rsidRPr="002B49EF">
        <w:rPr>
          <w:rFonts w:ascii="Palatino Linotype" w:hAnsi="Palatino Linotype"/>
        </w:rPr>
        <w:t xml:space="preserve"> </w:t>
      </w:r>
      <w:r w:rsidR="002544DF">
        <w:rPr>
          <w:rFonts w:ascii="Palatino Linotype" w:hAnsi="Palatino Linotype"/>
          <w:sz w:val="18"/>
          <w:szCs w:val="18"/>
        </w:rPr>
        <w:t>Udayana University</w:t>
      </w:r>
      <w:r w:rsidR="00CA14E2">
        <w:rPr>
          <w:rFonts w:ascii="Palatino Linotype" w:hAnsi="Palatino Linotype"/>
          <w:sz w:val="18"/>
          <w:szCs w:val="18"/>
        </w:rPr>
        <w:t xml:space="preserve"> and</w:t>
      </w:r>
      <w:r w:rsidR="002544DF">
        <w:rPr>
          <w:rFonts w:ascii="Palatino Linotype" w:hAnsi="Palatino Linotype"/>
          <w:sz w:val="18"/>
          <w:szCs w:val="18"/>
        </w:rPr>
        <w:t xml:space="preserve"> </w:t>
      </w:r>
      <w:hyperlink r:id="rId8" w:history="1">
        <w:r w:rsidR="002544DF" w:rsidRPr="00EB5A86">
          <w:rPr>
            <w:rStyle w:val="Hyperlink"/>
            <w:rFonts w:ascii="Palatino Linotype" w:hAnsi="Palatino Linotype"/>
            <w:sz w:val="18"/>
            <w:szCs w:val="18"/>
          </w:rPr>
          <w:t>diah_ratna@unud.ac.id</w:t>
        </w:r>
      </w:hyperlink>
      <w:r w:rsidR="002544DF">
        <w:rPr>
          <w:rFonts w:ascii="Palatino Linotype" w:hAnsi="Palatino Linotype"/>
          <w:sz w:val="18"/>
          <w:szCs w:val="18"/>
        </w:rPr>
        <w:t xml:space="preserve"> </w:t>
      </w:r>
    </w:p>
    <w:p w14:paraId="7FE1131A" w14:textId="2251E633" w:rsidR="009A3613" w:rsidRPr="002B49EF" w:rsidRDefault="009A3613" w:rsidP="009A3613">
      <w:pPr>
        <w:jc w:val="center"/>
        <w:rPr>
          <w:rFonts w:ascii="Palatino Linotype" w:hAnsi="Palatino Linotype"/>
          <w:sz w:val="18"/>
          <w:szCs w:val="18"/>
        </w:rPr>
      </w:pPr>
    </w:p>
    <w:tbl>
      <w:tblPr>
        <w:tblStyle w:val="TabelBiasa21"/>
        <w:tblW w:w="8897" w:type="dxa"/>
        <w:jc w:val="center"/>
        <w:tblLayout w:type="fixed"/>
        <w:tblLook w:val="0400" w:firstRow="0" w:lastRow="0" w:firstColumn="0" w:lastColumn="0" w:noHBand="0" w:noVBand="1"/>
      </w:tblPr>
      <w:tblGrid>
        <w:gridCol w:w="8897"/>
      </w:tblGrid>
      <w:tr w:rsidR="003C1DC5" w:rsidRPr="00AE744B" w14:paraId="7C390E5E" w14:textId="77777777" w:rsidTr="00727CD7">
        <w:trPr>
          <w:cnfStyle w:val="000000100000" w:firstRow="0" w:lastRow="0" w:firstColumn="0" w:lastColumn="0" w:oddVBand="0" w:evenVBand="0" w:oddHBand="1" w:evenHBand="0" w:firstRowFirstColumn="0" w:firstRowLastColumn="0" w:lastRowFirstColumn="0" w:lastRowLastColumn="0"/>
          <w:trHeight w:val="596"/>
          <w:jc w:val="center"/>
        </w:trPr>
        <w:tc>
          <w:tcPr>
            <w:tcW w:w="8897" w:type="dxa"/>
            <w:vMerge w:val="restart"/>
          </w:tcPr>
          <w:p w14:paraId="3CC6E0CF" w14:textId="0E8C78E9" w:rsidR="003C1DC5" w:rsidRDefault="003C1DC5" w:rsidP="008D3D56">
            <w:pPr>
              <w:pBdr>
                <w:bottom w:val="single" w:sz="4" w:space="1" w:color="000000" w:themeColor="text1"/>
              </w:pBdr>
              <w:spacing w:before="120"/>
              <w:jc w:val="both"/>
              <w:rPr>
                <w:rFonts w:ascii="Palatino Linotype" w:hAnsi="Palatino Linotype"/>
                <w:b/>
              </w:rPr>
            </w:pPr>
            <w:r w:rsidRPr="00AE744B">
              <w:rPr>
                <w:rFonts w:ascii="Palatino Linotype" w:hAnsi="Palatino Linotype"/>
                <w:b/>
                <w:color w:val="000000"/>
              </w:rPr>
              <w:t xml:space="preserve">ABSTRACT </w:t>
            </w:r>
          </w:p>
          <w:p w14:paraId="5D0EA4F4" w14:textId="77777777" w:rsidR="00F70D38" w:rsidRPr="00727CD7" w:rsidRDefault="00F70D38" w:rsidP="003C1DC5">
            <w:pPr>
              <w:spacing w:before="120" w:after="120"/>
              <w:jc w:val="both"/>
              <w:rPr>
                <w:rFonts w:ascii="Palatino Linotype" w:hAnsi="Palatino Linotype"/>
                <w:sz w:val="18"/>
                <w:szCs w:val="18"/>
              </w:rPr>
            </w:pPr>
            <w:r w:rsidRPr="00727CD7">
              <w:rPr>
                <w:rFonts w:ascii="Palatino Linotype" w:hAnsi="Palatino Linotype"/>
                <w:sz w:val="18"/>
                <w:szCs w:val="18"/>
              </w:rPr>
              <w:t>This study aims to examine the regulatory vacuum of the mechanism for the implementation of judicial pardon which has been materially recognized in Article 54 paragraph (2) of the Criminal Code (KUHP) in 2023. Judicial pardon is a form of modern punishment innovation purpose that represents a paradigm shift from a retributive approach towards substantive justice, by providing space for judges not to impose punishment on perpetrators who are proven guilty in certain circumstances. This research uses normative juridical method with statutory approach and contemporary criminal law concept. There are two main problem formulations analyzed, namely: (1) what is the position and scope of judicial pardon in the national punishment system; and (2) whether the current Indonesian criminal law system has provided an adequate normative basis for its legitimate and accountable implementation. The results showed that normatively, judicial pardon reflects the spirit of renewal of Indonesian criminal law towards a more humanistic system. However, the lack of formal mechanisms in KUHAP and technical implementation guidelines from judicial institutions has caused this norm to be in a non-self-executing position. Thus, regulative harmonization and institutional policies are needed so that the applicability of judicial pardon is not symbolic, but operational in judicial practice.</w:t>
            </w:r>
          </w:p>
          <w:p w14:paraId="25AD1631" w14:textId="542F4EBD" w:rsidR="003C1DC5" w:rsidRPr="003C1DC5" w:rsidRDefault="003C1DC5" w:rsidP="003C1DC5">
            <w:pPr>
              <w:spacing w:before="120" w:after="120"/>
              <w:jc w:val="both"/>
              <w:rPr>
                <w:rFonts w:ascii="Palatino Linotype" w:hAnsi="Palatino Linotype"/>
                <w:i/>
                <w:sz w:val="18"/>
              </w:rPr>
            </w:pPr>
            <w:r w:rsidRPr="002B49EF">
              <w:rPr>
                <w:rFonts w:ascii="Palatino Linotype" w:hAnsi="Palatino Linotype"/>
                <w:b/>
                <w:i/>
                <w:sz w:val="18"/>
              </w:rPr>
              <w:t>Keywords:</w:t>
            </w:r>
            <w:r>
              <w:rPr>
                <w:rFonts w:ascii="Palatino Linotype" w:hAnsi="Palatino Linotype"/>
                <w:b/>
                <w:i/>
                <w:sz w:val="18"/>
              </w:rPr>
              <w:t xml:space="preserve"> </w:t>
            </w:r>
            <w:r w:rsidR="00F70D38">
              <w:rPr>
                <w:rFonts w:ascii="Palatino Linotype" w:hAnsi="Palatino Linotype"/>
                <w:i/>
                <w:sz w:val="18"/>
              </w:rPr>
              <w:t xml:space="preserve">Judicial Pardon, </w:t>
            </w:r>
            <w:r w:rsidR="00313029">
              <w:rPr>
                <w:rFonts w:ascii="Palatino Linotype" w:hAnsi="Palatino Linotype"/>
                <w:i/>
                <w:sz w:val="18"/>
              </w:rPr>
              <w:t xml:space="preserve">The </w:t>
            </w:r>
            <w:r w:rsidR="00F70D38">
              <w:rPr>
                <w:rFonts w:ascii="Palatino Linotype" w:hAnsi="Palatino Linotype"/>
                <w:i/>
                <w:sz w:val="18"/>
              </w:rPr>
              <w:t>2023</w:t>
            </w:r>
            <w:r w:rsidR="00313029">
              <w:rPr>
                <w:rFonts w:ascii="Palatino Linotype" w:hAnsi="Palatino Linotype"/>
                <w:i/>
                <w:sz w:val="18"/>
              </w:rPr>
              <w:t xml:space="preserve"> Criminal Code</w:t>
            </w:r>
            <w:r w:rsidR="00F70D38">
              <w:rPr>
                <w:rFonts w:ascii="Palatino Linotype" w:hAnsi="Palatino Linotype"/>
                <w:i/>
                <w:sz w:val="18"/>
              </w:rPr>
              <w:t>, Modern Criminalization, Criminal Procedure Law</w:t>
            </w:r>
            <w:r w:rsidRPr="003C1DC5">
              <w:rPr>
                <w:rFonts w:ascii="Palatino Linotype" w:hAnsi="Palatino Linotype"/>
                <w:i/>
                <w:sz w:val="18"/>
              </w:rPr>
              <w:t>.</w:t>
            </w:r>
          </w:p>
        </w:tc>
      </w:tr>
      <w:tr w:rsidR="003C1DC5" w:rsidRPr="002B49EF" w14:paraId="14236156" w14:textId="77777777" w:rsidTr="00727CD7">
        <w:trPr>
          <w:trHeight w:val="1070"/>
          <w:jc w:val="center"/>
        </w:trPr>
        <w:tc>
          <w:tcPr>
            <w:tcW w:w="8897" w:type="dxa"/>
            <w:vMerge/>
          </w:tcPr>
          <w:p w14:paraId="33E931AC" w14:textId="77777777" w:rsidR="003C1DC5" w:rsidRPr="002B49EF" w:rsidRDefault="003C1DC5" w:rsidP="008D3D56">
            <w:pPr>
              <w:widowControl w:val="0"/>
              <w:pBdr>
                <w:top w:val="nil"/>
                <w:left w:val="nil"/>
                <w:bottom w:val="nil"/>
                <w:right w:val="nil"/>
                <w:between w:val="nil"/>
              </w:pBdr>
              <w:spacing w:line="276" w:lineRule="auto"/>
              <w:rPr>
                <w:rFonts w:ascii="Palatino Linotype" w:hAnsi="Palatino Linotype"/>
                <w:b/>
                <w:i/>
              </w:rPr>
            </w:pPr>
          </w:p>
        </w:tc>
      </w:tr>
    </w:tbl>
    <w:p w14:paraId="2D156CFE" w14:textId="77777777" w:rsidR="009A3613" w:rsidRPr="001A3D83" w:rsidRDefault="009A3613" w:rsidP="003C1DC5">
      <w:pPr>
        <w:pBdr>
          <w:bottom w:val="single" w:sz="4" w:space="1" w:color="000000" w:themeColor="text1"/>
        </w:pBdr>
        <w:tabs>
          <w:tab w:val="left" w:pos="426"/>
        </w:tabs>
        <w:spacing w:after="120"/>
        <w:rPr>
          <w:rFonts w:ascii="Palatino Linotype" w:hAnsi="Palatino Linotype"/>
          <w:b/>
          <w:sz w:val="24"/>
          <w:szCs w:val="22"/>
        </w:rPr>
        <w:sectPr w:rsidR="009A3613" w:rsidRPr="001A3D83" w:rsidSect="00F114DC">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811" w:footer="1134" w:gutter="0"/>
          <w:pgNumType w:start="101"/>
          <w:cols w:space="720"/>
          <w:titlePg/>
        </w:sectPr>
      </w:pPr>
    </w:p>
    <w:p w14:paraId="7C0A5712" w14:textId="77777777" w:rsidR="00BF359F" w:rsidRDefault="00460212" w:rsidP="00460212">
      <w:pPr>
        <w:spacing w:after="120"/>
        <w:jc w:val="both"/>
        <w:rPr>
          <w:rFonts w:ascii="Palatino Linotype" w:hAnsi="Palatino Linotype"/>
          <w:b/>
          <w:sz w:val="22"/>
          <w:szCs w:val="22"/>
          <w:lang w:val="en-GB"/>
        </w:rPr>
      </w:pPr>
      <w:r w:rsidRPr="00460212">
        <w:rPr>
          <w:rFonts w:ascii="Palatino Linotype" w:hAnsi="Palatino Linotype"/>
          <w:b/>
          <w:sz w:val="22"/>
          <w:szCs w:val="22"/>
          <w:lang w:val="en-GB"/>
        </w:rPr>
        <w:t>INTRODUCTION</w:t>
      </w:r>
    </w:p>
    <w:p w14:paraId="2A03225E" w14:textId="46A9D2D7" w:rsidR="009A3613" w:rsidRPr="001A3D83" w:rsidRDefault="00460212" w:rsidP="00BF359F">
      <w:pPr>
        <w:spacing w:after="120" w:line="276" w:lineRule="auto"/>
        <w:jc w:val="both"/>
        <w:rPr>
          <w:rFonts w:ascii="Palatino Linotype" w:hAnsi="Palatino Linotype"/>
          <w:b/>
          <w:sz w:val="22"/>
          <w:szCs w:val="22"/>
          <w:lang w:val="en-GB"/>
        </w:rPr>
      </w:pPr>
      <w:r w:rsidRPr="00460212">
        <w:rPr>
          <w:rFonts w:ascii="Palatino Linotype" w:hAnsi="Palatino Linotype"/>
          <w:b/>
          <w:sz w:val="22"/>
          <w:szCs w:val="22"/>
          <w:lang w:val="en-GB"/>
        </w:rPr>
        <w:t xml:space="preserve"> </w:t>
      </w:r>
    </w:p>
    <w:p w14:paraId="4980F5C3" w14:textId="77777777" w:rsidR="00BF359F" w:rsidRDefault="00BF359F" w:rsidP="00BF359F">
      <w:pPr>
        <w:spacing w:after="100" w:afterAutospacing="1" w:line="276" w:lineRule="auto"/>
        <w:jc w:val="both"/>
        <w:rPr>
          <w:rFonts w:ascii="Palatino Linotype" w:hAnsi="Palatino Linotype"/>
        </w:rPr>
        <w:sectPr w:rsidR="00BF359F" w:rsidSect="00F114DC">
          <w:type w:val="continuous"/>
          <w:pgSz w:w="11907" w:h="16840"/>
          <w:pgMar w:top="1418" w:right="1418" w:bottom="1418" w:left="1418" w:header="811" w:footer="1134" w:gutter="0"/>
          <w:pgNumType w:start="3"/>
          <w:cols w:num="2" w:space="720"/>
          <w:titlePg/>
        </w:sectPr>
      </w:pPr>
    </w:p>
    <w:p w14:paraId="29E72FBB" w14:textId="4319E355" w:rsidR="005B0E42" w:rsidRDefault="005B0E42" w:rsidP="00F114DC">
      <w:pPr>
        <w:spacing w:line="276" w:lineRule="auto"/>
        <w:ind w:firstLine="720"/>
        <w:jc w:val="both"/>
        <w:rPr>
          <w:rFonts w:ascii="Palatino Linotype" w:hAnsi="Palatino Linotype"/>
        </w:rPr>
      </w:pPr>
      <w:r w:rsidRPr="0012564B">
        <w:rPr>
          <w:rFonts w:ascii="Palatino Linotype" w:hAnsi="Palatino Linotype"/>
        </w:rPr>
        <w:t>The enac</w:t>
      </w:r>
      <w:r w:rsidR="00B55519">
        <w:rPr>
          <w:rFonts w:ascii="Palatino Linotype" w:hAnsi="Palatino Linotype"/>
        </w:rPr>
        <w:t>t</w:t>
      </w:r>
      <w:r w:rsidRPr="0012564B">
        <w:rPr>
          <w:rFonts w:ascii="Palatino Linotype" w:hAnsi="Palatino Linotype"/>
        </w:rPr>
        <w:t>ment of Law No. 1 of 2023 on the Criminal Code (hereinafter re</w:t>
      </w:r>
      <w:r w:rsidR="00B55519">
        <w:rPr>
          <w:rFonts w:ascii="Palatino Linotype" w:hAnsi="Palatino Linotype"/>
        </w:rPr>
        <w:t>ferre</w:t>
      </w:r>
      <w:r w:rsidRPr="0012564B">
        <w:rPr>
          <w:rFonts w:ascii="Palatino Linotype" w:hAnsi="Palatino Linotype"/>
        </w:rPr>
        <w:t>d to as the 2023 Criminal Code) marks the beginning of a transitional phase in the process of shifting the paradigm of Indonesia’s current criminal justice systems. This process signals the serious efforts of th</w:t>
      </w:r>
      <w:r w:rsidR="00B55519">
        <w:rPr>
          <w:rFonts w:ascii="Palatino Linotype" w:hAnsi="Palatino Linotype"/>
        </w:rPr>
        <w:t>e</w:t>
      </w:r>
      <w:r w:rsidRPr="0012564B">
        <w:rPr>
          <w:rFonts w:ascii="Palatino Linotype" w:hAnsi="Palatino Linotype"/>
        </w:rPr>
        <w:t xml:space="preserve"> government and the state to reform the national criminal law, which is based on Dutch colonial heritage and</w:t>
      </w:r>
      <w:r w:rsidR="00B55519">
        <w:rPr>
          <w:rFonts w:ascii="Palatino Linotype" w:hAnsi="Palatino Linotype"/>
        </w:rPr>
        <w:t xml:space="preserve"> it s</w:t>
      </w:r>
      <w:r w:rsidRPr="0012564B">
        <w:rPr>
          <w:rFonts w:ascii="Palatino Linotype" w:hAnsi="Palatino Linotype"/>
        </w:rPr>
        <w:t xml:space="preserve">s considered irrelevant to the development of Indonesian society’s values. One of the hallmarks of this reform is the shift in the orientation of punishment from retribution to an approach that emphasizes corrective, humanistic, and proportional justice. This change in the characteristics of punishment is reflected in various new provision recognizing the role of judges in considering certain conditions that may be grounds for not imposing punishment, even if the defendant is found guilty. Article 54 paragraph 92) of the 2023 Criminal Code provides a normative basis for the practice of judicial pardon in judicial clemency. </w:t>
      </w:r>
    </w:p>
    <w:p w14:paraId="2315B575" w14:textId="3BB72545" w:rsidR="005B0E42" w:rsidRPr="00B55519" w:rsidRDefault="005B0E42" w:rsidP="005B0E42">
      <w:pPr>
        <w:spacing w:line="276" w:lineRule="auto"/>
        <w:ind w:firstLine="720"/>
        <w:jc w:val="both"/>
        <w:rPr>
          <w:rFonts w:ascii="Palatino Linotype" w:hAnsi="Palatino Linotype"/>
        </w:rPr>
      </w:pPr>
      <w:r w:rsidRPr="0012564B">
        <w:rPr>
          <w:rFonts w:ascii="Palatino Linotype" w:hAnsi="Palatino Linotype"/>
        </w:rPr>
        <w:t>Judicial pardon is a new form of judicial authority that marks a shift in values in the criminal justice process in Indonesia. This mechanism gives judges the authority to uphold substantive justice by considering the complexity of personal and social circumstances and the consequences of punishment for offenders. Through the concept of judicial pardon, criminal law in Indonesia has begun to ac</w:t>
      </w:r>
      <w:r w:rsidR="00B55519">
        <w:rPr>
          <w:rFonts w:ascii="Palatino Linotype" w:hAnsi="Palatino Linotype"/>
        </w:rPr>
        <w:t>c</w:t>
      </w:r>
      <w:r w:rsidRPr="0012564B">
        <w:rPr>
          <w:rFonts w:ascii="Palatino Linotype" w:hAnsi="Palatino Linotype"/>
        </w:rPr>
        <w:t>om</w:t>
      </w:r>
      <w:r w:rsidR="00B55519">
        <w:rPr>
          <w:rFonts w:ascii="Palatino Linotype" w:hAnsi="Palatino Linotype"/>
        </w:rPr>
        <w:t>m</w:t>
      </w:r>
      <w:r w:rsidRPr="0012564B">
        <w:rPr>
          <w:rFonts w:ascii="Palatino Linotype" w:hAnsi="Palatino Linotype"/>
        </w:rPr>
        <w:t>odate the view that punishment is not the only punishment or automatic reaction (</w:t>
      </w:r>
      <w:proofErr w:type="spellStart"/>
      <w:r w:rsidRPr="0012564B">
        <w:rPr>
          <w:rFonts w:ascii="Palatino Linotype" w:hAnsi="Palatino Linotype"/>
          <w:i/>
          <w:iCs/>
        </w:rPr>
        <w:t>ultimum</w:t>
      </w:r>
      <w:proofErr w:type="spellEnd"/>
      <w:r w:rsidRPr="0012564B">
        <w:rPr>
          <w:rFonts w:ascii="Palatino Linotype" w:hAnsi="Palatino Linotype"/>
          <w:i/>
          <w:iCs/>
        </w:rPr>
        <w:t xml:space="preserve"> </w:t>
      </w:r>
      <w:proofErr w:type="spellStart"/>
      <w:r w:rsidRPr="0012564B">
        <w:rPr>
          <w:rFonts w:ascii="Palatino Linotype" w:hAnsi="Palatino Linotype"/>
          <w:i/>
          <w:iCs/>
        </w:rPr>
        <w:t>remedium</w:t>
      </w:r>
      <w:proofErr w:type="spellEnd"/>
      <w:r w:rsidRPr="0012564B">
        <w:rPr>
          <w:rFonts w:ascii="Palatino Linotype" w:hAnsi="Palatino Linotype"/>
        </w:rPr>
        <w:t>) to every criminal act.</w:t>
      </w:r>
      <w:r w:rsidR="00175BFA">
        <w:rPr>
          <w:rFonts w:ascii="Palatino Linotype" w:hAnsi="Palatino Linotype"/>
        </w:rPr>
        <w:t>[1]</w:t>
      </w:r>
      <w:r w:rsidRPr="0012564B">
        <w:rPr>
          <w:rFonts w:ascii="Palatino Linotype" w:hAnsi="Palatino Linotype"/>
        </w:rPr>
        <w:t xml:space="preserve"> Instead, this concept reflects a push towards a more adaptive and contextual criminal justice system that considers the benefits and social impact of a criminal verdict handed down by a judge. </w:t>
      </w:r>
      <w:proofErr w:type="gramStart"/>
      <w:r w:rsidRPr="0012564B">
        <w:rPr>
          <w:rFonts w:ascii="Palatino Linotype" w:hAnsi="Palatino Linotype"/>
        </w:rPr>
        <w:t>Therefor</w:t>
      </w:r>
      <w:r w:rsidR="00B55519">
        <w:rPr>
          <w:rFonts w:ascii="Palatino Linotype" w:hAnsi="Palatino Linotype"/>
        </w:rPr>
        <w:t>e</w:t>
      </w:r>
      <w:proofErr w:type="gramEnd"/>
      <w:r w:rsidRPr="0012564B">
        <w:rPr>
          <w:rFonts w:ascii="Palatino Linotype" w:hAnsi="Palatino Linotype"/>
        </w:rPr>
        <w:t xml:space="preserve"> th</w:t>
      </w:r>
      <w:r w:rsidR="00B55519">
        <w:rPr>
          <w:rFonts w:ascii="Palatino Linotype" w:hAnsi="Palatino Linotype"/>
        </w:rPr>
        <w:t>e</w:t>
      </w:r>
      <w:r w:rsidRPr="0012564B">
        <w:rPr>
          <w:rFonts w:ascii="Palatino Linotype" w:hAnsi="Palatino Linotype"/>
        </w:rPr>
        <w:t xml:space="preserve"> existence of judicial pardon strengthens the capacity of the </w:t>
      </w:r>
      <w:r w:rsidRPr="0012564B">
        <w:rPr>
          <w:rFonts w:ascii="Palatino Linotype" w:hAnsi="Palatino Linotype"/>
        </w:rPr>
        <w:lastRenderedPageBreak/>
        <w:t>criminal justice system to act proportionally and humanely in line with the direction of national legal reform.</w:t>
      </w:r>
      <w:r w:rsidR="0015016F">
        <w:rPr>
          <w:rFonts w:ascii="Palatino Linotype" w:hAnsi="Palatino Linotype"/>
        </w:rPr>
        <w:t>[2]</w:t>
      </w:r>
    </w:p>
    <w:p w14:paraId="4DF0C189" w14:textId="1B05E357" w:rsidR="005B0E42" w:rsidRDefault="005B0E42" w:rsidP="005B0E42">
      <w:pPr>
        <w:spacing w:line="276" w:lineRule="auto"/>
        <w:ind w:firstLine="720"/>
        <w:jc w:val="both"/>
        <w:rPr>
          <w:rFonts w:ascii="Palatino Linotype" w:hAnsi="Palatino Linotype"/>
        </w:rPr>
      </w:pPr>
      <w:r w:rsidRPr="0012564B">
        <w:rPr>
          <w:rFonts w:ascii="Palatino Linotype" w:hAnsi="Palatino Linotype"/>
        </w:rPr>
        <w:t>Judicial pardon can be described as an in</w:t>
      </w:r>
      <w:r w:rsidR="0015016F">
        <w:rPr>
          <w:rFonts w:ascii="Palatino Linotype" w:hAnsi="Palatino Linotype"/>
        </w:rPr>
        <w:t>n</w:t>
      </w:r>
      <w:r w:rsidRPr="0012564B">
        <w:rPr>
          <w:rFonts w:ascii="Palatino Linotype" w:hAnsi="Palatino Linotype"/>
        </w:rPr>
        <w:t xml:space="preserve">ovation in the national criminal law that reflects the </w:t>
      </w:r>
      <w:proofErr w:type="spellStart"/>
      <w:r w:rsidR="0015016F">
        <w:rPr>
          <w:rFonts w:ascii="Palatino Linotype" w:hAnsi="Palatino Linotype"/>
        </w:rPr>
        <w:t>phylosofical</w:t>
      </w:r>
      <w:proofErr w:type="spellEnd"/>
      <w:r w:rsidRPr="0012564B">
        <w:rPr>
          <w:rFonts w:ascii="Palatino Linotype" w:hAnsi="Palatino Linotype"/>
        </w:rPr>
        <w:t xml:space="preserve"> changed of punishment from commonly sense as retribution action become the collective and restorative action, which is create the social reintegration, protection of human rights and efficiency in the criminal justice system.</w:t>
      </w:r>
      <w:r w:rsidR="0015016F">
        <w:rPr>
          <w:rFonts w:ascii="Palatino Linotype" w:hAnsi="Palatino Linotype"/>
        </w:rPr>
        <w:t>[3]</w:t>
      </w:r>
      <w:r w:rsidR="0015016F" w:rsidRPr="0012564B">
        <w:rPr>
          <w:rFonts w:ascii="Palatino Linotype" w:hAnsi="Palatino Linotype"/>
        </w:rPr>
        <w:t xml:space="preserve"> </w:t>
      </w:r>
      <w:r w:rsidRPr="0012564B">
        <w:rPr>
          <w:rFonts w:ascii="Palatino Linotype" w:hAnsi="Palatino Linotype"/>
        </w:rPr>
        <w:t xml:space="preserve">In the context of modern criminal law, judicial pardon can be seen as an important instrument to decrease the excessive criminalization or overcriminalization. The phenomenon overcriminalization occurs when the legal system processes over the capacity of cases which actually can be resolved through a </w:t>
      </w:r>
      <w:r w:rsidRPr="0012564B">
        <w:rPr>
          <w:rFonts w:ascii="Palatino Linotype" w:hAnsi="Palatino Linotype"/>
          <w:i/>
          <w:iCs/>
        </w:rPr>
        <w:t>non-</w:t>
      </w:r>
      <w:proofErr w:type="spellStart"/>
      <w:r w:rsidRPr="0012564B">
        <w:rPr>
          <w:rFonts w:ascii="Palatino Linotype" w:hAnsi="Palatino Linotype"/>
          <w:i/>
          <w:iCs/>
        </w:rPr>
        <w:t>punitif</w:t>
      </w:r>
      <w:proofErr w:type="spellEnd"/>
      <w:r w:rsidRPr="0012564B">
        <w:rPr>
          <w:rFonts w:ascii="Palatino Linotype" w:hAnsi="Palatino Linotype"/>
        </w:rPr>
        <w:t xml:space="preserve"> approaches, especially for minor offenses such as social violations or offenders with certain backgrounds such as youth, under economic conditions, or psyc</w:t>
      </w:r>
      <w:r w:rsidR="0015016F">
        <w:rPr>
          <w:rFonts w:ascii="Palatino Linotype" w:hAnsi="Palatino Linotype"/>
        </w:rPr>
        <w:t>hos</w:t>
      </w:r>
      <w:r w:rsidRPr="0012564B">
        <w:rPr>
          <w:rFonts w:ascii="Palatino Linotype" w:hAnsi="Palatino Linotype"/>
        </w:rPr>
        <w:t>ocial pressures.</w:t>
      </w:r>
      <w:r w:rsidRPr="0012564B">
        <w:rPr>
          <w:rStyle w:val="FootnoteReference"/>
          <w:rFonts w:ascii="Palatino Linotype" w:hAnsi="Palatino Linotype"/>
        </w:rPr>
        <w:t xml:space="preserve"> </w:t>
      </w:r>
      <w:r w:rsidR="0015016F">
        <w:rPr>
          <w:rFonts w:ascii="Palatino Linotype" w:hAnsi="Palatino Linotype"/>
        </w:rPr>
        <w:t xml:space="preserve">[4] </w:t>
      </w:r>
      <w:r w:rsidRPr="0012564B">
        <w:rPr>
          <w:rFonts w:ascii="Palatino Linotype" w:hAnsi="Palatino Linotype"/>
        </w:rPr>
        <w:t>By providing space for judges to evaluate the social impact of punishment, judicial pardons serve as a filtering mechanism that aims to maintain a balance between legal certainty and substantive justice.</w:t>
      </w:r>
    </w:p>
    <w:p w14:paraId="58A2CB35" w14:textId="336DCE9B" w:rsidR="005B0E42" w:rsidRDefault="005B0E42" w:rsidP="005B0E42">
      <w:pPr>
        <w:spacing w:line="276" w:lineRule="auto"/>
        <w:ind w:firstLine="720"/>
        <w:jc w:val="both"/>
        <w:rPr>
          <w:rFonts w:ascii="Palatino Linotype" w:hAnsi="Palatino Linotype"/>
        </w:rPr>
      </w:pPr>
      <w:r w:rsidRPr="0012564B">
        <w:rPr>
          <w:rFonts w:ascii="Palatino Linotype" w:hAnsi="Palatino Linotype"/>
        </w:rPr>
        <w:t xml:space="preserve">Several cases prove the need for progressive measures in criminal law enforcement to reduce criminal law inequality, especially against vulnerable groups. </w:t>
      </w:r>
      <w:r w:rsidRPr="0012564B">
        <w:rPr>
          <w:rFonts w:ascii="Palatino Linotype" w:hAnsi="Palatino Linotype"/>
          <w:i/>
          <w:iCs/>
        </w:rPr>
        <w:t>First</w:t>
      </w:r>
      <w:r w:rsidRPr="0012564B">
        <w:rPr>
          <w:rFonts w:ascii="Palatino Linotype" w:hAnsi="Palatino Linotype"/>
        </w:rPr>
        <w:t xml:space="preserve">, there is the case of a teenager from Madura, named Irfan Bahri, who was named a </w:t>
      </w:r>
      <w:proofErr w:type="gramStart"/>
      <w:r w:rsidRPr="0012564B">
        <w:rPr>
          <w:rFonts w:ascii="Palatino Linotype" w:hAnsi="Palatino Linotype"/>
        </w:rPr>
        <w:t>suspects</w:t>
      </w:r>
      <w:proofErr w:type="gramEnd"/>
      <w:r w:rsidRPr="0012564B">
        <w:rPr>
          <w:rFonts w:ascii="Palatino Linotype" w:hAnsi="Palatino Linotype"/>
        </w:rPr>
        <w:t xml:space="preserve"> in the murder of a mugger who had stolen his valuable and attacked Irfan with a sharp weapon. </w:t>
      </w:r>
      <w:r w:rsidRPr="0012564B">
        <w:rPr>
          <w:rFonts w:ascii="Palatino Linotype" w:hAnsi="Palatino Linotype"/>
          <w:i/>
          <w:iCs/>
        </w:rPr>
        <w:t>Second</w:t>
      </w:r>
      <w:r w:rsidRPr="0012564B">
        <w:rPr>
          <w:rFonts w:ascii="Palatino Linotype" w:hAnsi="Palatino Linotype"/>
        </w:rPr>
        <w:t xml:space="preserve">, the case of </w:t>
      </w:r>
      <w:proofErr w:type="spellStart"/>
      <w:r w:rsidRPr="0012564B">
        <w:rPr>
          <w:rFonts w:ascii="Palatino Linotype" w:hAnsi="Palatino Linotype"/>
        </w:rPr>
        <w:t>Asyani</w:t>
      </w:r>
      <w:proofErr w:type="spellEnd"/>
      <w:r w:rsidRPr="0012564B">
        <w:rPr>
          <w:rFonts w:ascii="Palatino Linotype" w:hAnsi="Palatino Linotype"/>
        </w:rPr>
        <w:t xml:space="preserve">, a middle-aged woman from </w:t>
      </w:r>
      <w:proofErr w:type="spellStart"/>
      <w:r w:rsidRPr="0012564B">
        <w:rPr>
          <w:rFonts w:ascii="Palatino Linotype" w:hAnsi="Palatino Linotype"/>
        </w:rPr>
        <w:t>Situbondo</w:t>
      </w:r>
      <w:proofErr w:type="spellEnd"/>
      <w:r w:rsidRPr="0012564B">
        <w:rPr>
          <w:rFonts w:ascii="Palatino Linotype" w:hAnsi="Palatino Linotype"/>
        </w:rPr>
        <w:t xml:space="preserve"> who has sentenced to one year in prison and fined Rp500 million for allegedly stealing teak wood belonging to </w:t>
      </w:r>
      <w:proofErr w:type="spellStart"/>
      <w:r w:rsidRPr="0012564B">
        <w:rPr>
          <w:rFonts w:ascii="Palatino Linotype" w:hAnsi="Palatino Linotype"/>
        </w:rPr>
        <w:t>Perhutani</w:t>
      </w:r>
      <w:proofErr w:type="spellEnd"/>
      <w:r w:rsidRPr="0012564B">
        <w:rPr>
          <w:rFonts w:ascii="Palatino Linotype" w:hAnsi="Palatino Linotype"/>
        </w:rPr>
        <w:t xml:space="preserve">, which she claimed came from her own land. Due to </w:t>
      </w:r>
      <w:proofErr w:type="spellStart"/>
      <w:r w:rsidRPr="0012564B">
        <w:rPr>
          <w:rFonts w:ascii="Palatino Linotype" w:hAnsi="Palatino Linotype"/>
        </w:rPr>
        <w:t>Asyani’s</w:t>
      </w:r>
      <w:proofErr w:type="spellEnd"/>
      <w:r w:rsidRPr="0012564B">
        <w:rPr>
          <w:rFonts w:ascii="Palatino Linotype" w:hAnsi="Palatino Linotype"/>
        </w:rPr>
        <w:t xml:space="preserve"> inability to prove the origin of the stolen wood, the judge sentenced her to prison. </w:t>
      </w:r>
      <w:r w:rsidRPr="0012564B">
        <w:rPr>
          <w:rFonts w:ascii="Palatino Linotype" w:hAnsi="Palatino Linotype"/>
          <w:i/>
          <w:iCs/>
        </w:rPr>
        <w:t>Third</w:t>
      </w:r>
      <w:r w:rsidRPr="0012564B">
        <w:rPr>
          <w:rFonts w:ascii="Palatino Linotype" w:hAnsi="Palatino Linotype"/>
        </w:rPr>
        <w:t xml:space="preserve">, the case of </w:t>
      </w:r>
      <w:proofErr w:type="spellStart"/>
      <w:r w:rsidRPr="0012564B">
        <w:rPr>
          <w:rFonts w:ascii="Palatino Linotype" w:hAnsi="Palatino Linotype"/>
        </w:rPr>
        <w:t>Valencya</w:t>
      </w:r>
      <w:proofErr w:type="spellEnd"/>
      <w:r w:rsidRPr="0012564B">
        <w:rPr>
          <w:rFonts w:ascii="Palatino Linotype" w:hAnsi="Palatino Linotype"/>
        </w:rPr>
        <w:t>, a mother in Karawang who was charged with domesti</w:t>
      </w:r>
      <w:r w:rsidR="00713D09">
        <w:rPr>
          <w:rFonts w:ascii="Palatino Linotype" w:hAnsi="Palatino Linotype"/>
        </w:rPr>
        <w:t>c</w:t>
      </w:r>
      <w:r w:rsidRPr="0012564B">
        <w:rPr>
          <w:rFonts w:ascii="Palatino Linotype" w:hAnsi="Palatino Linotype"/>
        </w:rPr>
        <w:t xml:space="preserve"> violence in the form of psychological abuse against her husband, who was often drunk and did not come home for six </w:t>
      </w:r>
      <w:proofErr w:type="gramStart"/>
      <w:r w:rsidRPr="0012564B">
        <w:rPr>
          <w:rFonts w:ascii="Palatino Linotype" w:hAnsi="Palatino Linotype"/>
        </w:rPr>
        <w:t>month</w:t>
      </w:r>
      <w:proofErr w:type="gramEnd"/>
      <w:r w:rsidRPr="0012564B">
        <w:rPr>
          <w:rFonts w:ascii="Palatino Linotype" w:hAnsi="Palatino Linotype"/>
        </w:rPr>
        <w:t xml:space="preserve">. Valencya’s husband then filed a report with the police and the prosecutor charged </w:t>
      </w:r>
      <w:proofErr w:type="spellStart"/>
      <w:r w:rsidRPr="0012564B">
        <w:rPr>
          <w:rFonts w:ascii="Palatino Linotype" w:hAnsi="Palatino Linotype"/>
        </w:rPr>
        <w:t>Valencya</w:t>
      </w:r>
      <w:proofErr w:type="spellEnd"/>
      <w:r w:rsidRPr="0012564B">
        <w:rPr>
          <w:rFonts w:ascii="Palatino Linotype" w:hAnsi="Palatino Linotype"/>
        </w:rPr>
        <w:t xml:space="preserve"> with one year in prison. </w:t>
      </w:r>
      <w:r w:rsidRPr="0012564B">
        <w:rPr>
          <w:rFonts w:ascii="Palatino Linotype" w:hAnsi="Palatino Linotype"/>
          <w:i/>
          <w:iCs/>
        </w:rPr>
        <w:t xml:space="preserve">Fourth, </w:t>
      </w:r>
      <w:r w:rsidRPr="0012564B">
        <w:rPr>
          <w:rFonts w:ascii="Palatino Linotype" w:hAnsi="Palatino Linotype"/>
        </w:rPr>
        <w:t xml:space="preserve">Grandpa Harso Taruno, a </w:t>
      </w:r>
      <w:proofErr w:type="gramStart"/>
      <w:r w:rsidRPr="0012564B">
        <w:rPr>
          <w:rFonts w:ascii="Palatino Linotype" w:hAnsi="Palatino Linotype"/>
        </w:rPr>
        <w:t>63-year old</w:t>
      </w:r>
      <w:proofErr w:type="gramEnd"/>
      <w:r w:rsidRPr="0012564B">
        <w:rPr>
          <w:rFonts w:ascii="Palatino Linotype" w:hAnsi="Palatino Linotype"/>
        </w:rPr>
        <w:t xml:space="preserve"> farmer from Yogyakarta who was accused of destroying the forest for cutting down trees in a wildlife reserve. As a result, the grandfather was detained for two months and fined Rp.400.000,-. There are many other similar cases that show that the criminal justice process is still based on retribution and retributive justice, which is imposing punishment without considering the elements of justice and humanity that should also be taken into account in sentencing. </w:t>
      </w:r>
    </w:p>
    <w:p w14:paraId="639C1DF8" w14:textId="78507EB5" w:rsidR="005B0E42" w:rsidRDefault="005B0E42" w:rsidP="005B0E42">
      <w:pPr>
        <w:spacing w:line="276" w:lineRule="auto"/>
        <w:ind w:firstLine="720"/>
        <w:jc w:val="both"/>
        <w:rPr>
          <w:rFonts w:ascii="Palatino Linotype" w:hAnsi="Palatino Linotype"/>
        </w:rPr>
      </w:pPr>
      <w:r w:rsidRPr="0012564B">
        <w:rPr>
          <w:rFonts w:ascii="Palatino Linotype" w:hAnsi="Palatino Linotype"/>
        </w:rPr>
        <w:t>The existence of judicial pardon in the 2023 Criminal Code is a progressive step in the reform of the criminal justice system. In material terms, the concept of judicial pardon is regulated in Article 54 paragraph (2) of the 2023 Criminal Code, but the position of this concept in criminal law is still weak and raises legal issues because it is not supported by mechanisms between the 2023 Criminal Code and the Criminal Procedure Code (hereinafter refer</w:t>
      </w:r>
      <w:r w:rsidR="00713D09">
        <w:rPr>
          <w:rFonts w:ascii="Palatino Linotype" w:hAnsi="Palatino Linotype"/>
        </w:rPr>
        <w:t>r</w:t>
      </w:r>
      <w:r w:rsidRPr="0012564B">
        <w:rPr>
          <w:rFonts w:ascii="Palatino Linotype" w:hAnsi="Palatino Linotype"/>
        </w:rPr>
        <w:t xml:space="preserve">ed to as KUHAP). To date, the KUHAP as the applicable criminal procedure law, does not provide a formal mechanism that allow judges to issue </w:t>
      </w:r>
      <w:r w:rsidRPr="0012564B">
        <w:rPr>
          <w:rFonts w:ascii="Palatino Linotype" w:hAnsi="Palatino Linotype"/>
          <w:i/>
          <w:iCs/>
        </w:rPr>
        <w:t>non-punitive</w:t>
      </w:r>
      <w:r w:rsidRPr="0012564B">
        <w:rPr>
          <w:rFonts w:ascii="Palatino Linotype" w:hAnsi="Palatino Linotype"/>
        </w:rPr>
        <w:t xml:space="preserve"> verdicts based on judicial pardon. The KUHAP does not recognize a specific classification for verdicts that acquit defendants of criminal charges even though they have been proven guilty, other tha</w:t>
      </w:r>
      <w:r w:rsidR="00713D09">
        <w:rPr>
          <w:rFonts w:ascii="Palatino Linotype" w:hAnsi="Palatino Linotype"/>
        </w:rPr>
        <w:t>n</w:t>
      </w:r>
      <w:r w:rsidRPr="0012564B">
        <w:rPr>
          <w:rFonts w:ascii="Palatino Linotype" w:hAnsi="Palatino Linotype"/>
        </w:rPr>
        <w:t xml:space="preserve"> verdict of acquittal (</w:t>
      </w:r>
      <w:proofErr w:type="spellStart"/>
      <w:r w:rsidRPr="0012564B">
        <w:rPr>
          <w:rFonts w:ascii="Palatino Linotype" w:hAnsi="Palatino Linotype"/>
          <w:i/>
          <w:iCs/>
        </w:rPr>
        <w:t>vrijspraak</w:t>
      </w:r>
      <w:proofErr w:type="spellEnd"/>
      <w:r w:rsidRPr="0012564B">
        <w:rPr>
          <w:rFonts w:ascii="Palatino Linotype" w:hAnsi="Palatino Linotype"/>
        </w:rPr>
        <w:t>), dismissal of all legal charges (</w:t>
      </w:r>
      <w:proofErr w:type="spellStart"/>
      <w:r w:rsidRPr="0012564B">
        <w:rPr>
          <w:rFonts w:ascii="Palatino Linotype" w:hAnsi="Palatino Linotype"/>
          <w:i/>
          <w:iCs/>
        </w:rPr>
        <w:t>onslag</w:t>
      </w:r>
      <w:proofErr w:type="spellEnd"/>
      <w:r w:rsidRPr="0012564B">
        <w:rPr>
          <w:rFonts w:ascii="Palatino Linotype" w:hAnsi="Palatino Linotype"/>
          <w:i/>
          <w:iCs/>
        </w:rPr>
        <w:t xml:space="preserve"> van </w:t>
      </w:r>
      <w:proofErr w:type="spellStart"/>
      <w:r w:rsidRPr="0012564B">
        <w:rPr>
          <w:rFonts w:ascii="Palatino Linotype" w:hAnsi="Palatino Linotype"/>
          <w:i/>
          <w:iCs/>
        </w:rPr>
        <w:t>recht</w:t>
      </w:r>
      <w:proofErr w:type="spellEnd"/>
      <w:r w:rsidRPr="0012564B">
        <w:rPr>
          <w:rFonts w:ascii="Palatino Linotype" w:hAnsi="Palatino Linotype"/>
          <w:i/>
          <w:iCs/>
        </w:rPr>
        <w:t xml:space="preserve"> </w:t>
      </w:r>
      <w:proofErr w:type="spellStart"/>
      <w:r w:rsidRPr="0012564B">
        <w:rPr>
          <w:rFonts w:ascii="Palatino Linotype" w:hAnsi="Palatino Linotype"/>
          <w:i/>
          <w:iCs/>
        </w:rPr>
        <w:t>vervolgin</w:t>
      </w:r>
      <w:proofErr w:type="spellEnd"/>
      <w:r w:rsidRPr="0012564B">
        <w:rPr>
          <w:rFonts w:ascii="Palatino Linotype" w:hAnsi="Palatino Linotype"/>
        </w:rPr>
        <w:t>) and ordinary criminal verdicts. The KUHAP also does not regulated how provisions regarding the reading of indictments, defense notes, and verdicts are still framed in a binary framework: guilty or not guilty, sentenced or acquitted. Furthermore, the conditions and legal force of a decision granting a judicial pardon are not yet regulated. This has the potential to lead to uncontrolled abuse of authority and shows that judicial pardons are not yet functionally integrated into the Indonesian criminal procedure system and remain only at the declarative level.</w:t>
      </w:r>
    </w:p>
    <w:p w14:paraId="57505740" w14:textId="77777777" w:rsidR="005B0E42" w:rsidRDefault="005B0E42" w:rsidP="005B0E42">
      <w:pPr>
        <w:spacing w:line="276" w:lineRule="auto"/>
        <w:ind w:firstLine="720"/>
        <w:jc w:val="both"/>
        <w:rPr>
          <w:rFonts w:ascii="Palatino Linotype" w:hAnsi="Palatino Linotype"/>
        </w:rPr>
      </w:pPr>
      <w:r w:rsidRPr="0012564B">
        <w:rPr>
          <w:rFonts w:ascii="Palatino Linotype" w:hAnsi="Palatino Linotype"/>
        </w:rPr>
        <w:t xml:space="preserve">Furthermore, the Criminal Procedure Code does not contain procedures governing the parameters, criteria, or stages by which judges can decide not to impose punishment based on moral, social, or psychological considerations commonly used in judicial pardons. The absence of such norms not only makes it difficult for law enforcement officials to apply the provisions of Article 54 paragraph (2) of the Criminal Code, but also obscures the legitimacy of judges' decisions based solely on judicial discretion without the support of clear and measurable procedural mechanisms. This condition creates the risk of inconsistent judicial practices, legal uncertainty, and even the potential to reduce public trust in the criminal justice system itself. Thus, judicial pardon can become an “empty” norm if it is not immediately supported by a renewal of the procedural law system that accommodates its implementation through legitimate and accountable mechanisms. The disharmony between the substance of the Criminal Code and the procedural system in the Criminal Procedure Code also has a direct impact on judicial practice and the guarantee of justice for the parties. When judicial pardon is applied without a clear procedural mechanism, issues arise regarding the standard of proof, the position of the public prosecutor, and the defendant's right to obtain clarity on a decision that does not impose a criminal penalty. </w:t>
      </w:r>
    </w:p>
    <w:p w14:paraId="6F5F3EEB" w14:textId="77777777" w:rsidR="005B0E42" w:rsidRDefault="005B0E42" w:rsidP="005B0E42">
      <w:pPr>
        <w:spacing w:line="276" w:lineRule="auto"/>
        <w:ind w:firstLine="720"/>
        <w:jc w:val="both"/>
        <w:rPr>
          <w:rFonts w:ascii="Palatino Linotype" w:hAnsi="Palatino Linotype"/>
        </w:rPr>
      </w:pPr>
      <w:r w:rsidRPr="0012564B">
        <w:rPr>
          <w:rFonts w:ascii="Palatino Linotype" w:hAnsi="Palatino Linotype"/>
        </w:rPr>
        <w:t>The absence of provisions on judicial pardons in the Criminal Procedure Code can  raise doubts about the principle of legal certainty, the lack of transparency and accountability of judges in deciding cases involving judicial pardons, and, furthermore, open the door to abuse of discretion that cannot be objectively tested. In addition, the absence of provisions on judicial pardon in the Criminal Procedure Code also has the potential to cause judges to be reluctant to use this authority for fear of being considered to have deviated from formal rules or because technical guidelines are not yet available. There is concern that judicial pardon, which is ideally a tool to strengthen substantive justice, has the potential to become a source of new inequality in the criminal justice system if it is not immediately supported by a comprehensive and comprehensive procedural legal framework.  Therefore, synchronization between the 2023 Criminal Code, the Criminal Procedure Code, and implementing regulations such as the Supreme Court Technical Guidelines is necessary so that judicial pardons can be carried out legitimately and accountably without causing ambiguity in judicial practice.</w:t>
      </w:r>
    </w:p>
    <w:p w14:paraId="48E60409" w14:textId="3654F460" w:rsidR="005B0E42" w:rsidRDefault="005B0E42" w:rsidP="005B0E42">
      <w:pPr>
        <w:spacing w:line="276" w:lineRule="auto"/>
        <w:ind w:firstLine="720"/>
        <w:jc w:val="both"/>
        <w:rPr>
          <w:rFonts w:ascii="Palatino Linotype" w:hAnsi="Palatino Linotype"/>
        </w:rPr>
      </w:pPr>
      <w:r w:rsidRPr="0012564B">
        <w:rPr>
          <w:rFonts w:ascii="Palatino Linotype" w:hAnsi="Palatino Linotype"/>
        </w:rPr>
        <w:t xml:space="preserve">Previous studies that also analyzed the mechanism of judicial pardon include, first, a journal article written by </w:t>
      </w:r>
      <w:proofErr w:type="spellStart"/>
      <w:r w:rsidRPr="0012564B">
        <w:rPr>
          <w:rFonts w:ascii="Palatino Linotype" w:hAnsi="Palatino Linotype"/>
        </w:rPr>
        <w:t>Mahraen</w:t>
      </w:r>
      <w:proofErr w:type="spellEnd"/>
      <w:r w:rsidRPr="0012564B">
        <w:rPr>
          <w:rFonts w:ascii="Palatino Linotype" w:hAnsi="Palatino Linotype"/>
        </w:rPr>
        <w:t xml:space="preserve"> in 2023 in the IURIS NOTITIA Journal entitled “Judicial Pardon in the Development of Indonesian Criminal Law” with a research focus on examining the philosophical basis and potential application of judicial pardon as an alternative decision in minor criminal cases, taking into account the values of justice and humanity.</w:t>
      </w:r>
      <w:r w:rsidR="00713D09">
        <w:rPr>
          <w:rFonts w:ascii="Palatino Linotype" w:hAnsi="Palatino Linotype"/>
        </w:rPr>
        <w:t>[5]</w:t>
      </w:r>
      <w:r w:rsidRPr="0012564B">
        <w:rPr>
          <w:rFonts w:ascii="Palatino Linotype" w:hAnsi="Palatino Linotype"/>
        </w:rPr>
        <w:t xml:space="preserve">  The second is a journal article by Fikri </w:t>
      </w:r>
      <w:proofErr w:type="spellStart"/>
      <w:r w:rsidRPr="0012564B">
        <w:rPr>
          <w:rFonts w:ascii="Palatino Linotype" w:hAnsi="Palatino Linotype"/>
        </w:rPr>
        <w:t>Ariyad</w:t>
      </w:r>
      <w:proofErr w:type="spellEnd"/>
      <w:r w:rsidRPr="0012564B">
        <w:rPr>
          <w:rFonts w:ascii="Palatino Linotype" w:hAnsi="Palatino Linotype"/>
        </w:rPr>
        <w:t xml:space="preserve"> and </w:t>
      </w:r>
      <w:proofErr w:type="spellStart"/>
      <w:r w:rsidRPr="0012564B">
        <w:rPr>
          <w:rFonts w:ascii="Palatino Linotype" w:hAnsi="Palatino Linotype"/>
        </w:rPr>
        <w:t>Athoillah</w:t>
      </w:r>
      <w:proofErr w:type="spellEnd"/>
      <w:r w:rsidRPr="0012564B">
        <w:rPr>
          <w:rFonts w:ascii="Palatino Linotype" w:hAnsi="Palatino Linotype"/>
        </w:rPr>
        <w:t xml:space="preserve"> Islam</w:t>
      </w:r>
      <w:r w:rsidR="00713D09">
        <w:rPr>
          <w:rFonts w:ascii="Palatino Linotype" w:hAnsi="Palatino Linotype"/>
        </w:rPr>
        <w:t>i</w:t>
      </w:r>
      <w:r w:rsidRPr="0012564B">
        <w:rPr>
          <w:rFonts w:ascii="Palatino Linotype" w:hAnsi="Palatino Linotype"/>
        </w:rPr>
        <w:t xml:space="preserve"> in 2022 in the HUNILA Journal entitled "Judicial Pardon in Indonesian Criminal Law: The Pancasila Philosophical Perspective," which focuses on analyzing the concept of judicial pardon through the lens of Pancasila values such as humanity and justice, as well as its implications for the renewal of national criminal law.</w:t>
      </w:r>
      <w:r w:rsidR="00713D09">
        <w:rPr>
          <w:rFonts w:ascii="Palatino Linotype" w:hAnsi="Palatino Linotype"/>
        </w:rPr>
        <w:t>[6]</w:t>
      </w:r>
      <w:r w:rsidRPr="0012564B">
        <w:rPr>
          <w:rFonts w:ascii="Palatino Linotype" w:hAnsi="Palatino Linotype"/>
        </w:rPr>
        <w:t xml:space="preserve"> These two state-of-the-art references have a different ideological basis from this study because this scientific journal article focuses on examining the urgency of harmonizing the provisions of Article 54 paragraph (2) of the 2023 Criminal Code, which regulates judicial pardon, with the Criminal Procedure Code as a formal rule that explicitly regulates the supporting mechanisms for the application of non-punitive decisions. This scientific journal will focus on institutional design and the reconstruction of the criminal procedure system that enables the legitimate and accountable application of judicial pardon.</w:t>
      </w:r>
    </w:p>
    <w:p w14:paraId="198904AF" w14:textId="3EDFAED6" w:rsidR="005B0E42" w:rsidRDefault="005B0E42" w:rsidP="009B2A69">
      <w:pPr>
        <w:spacing w:line="276" w:lineRule="auto"/>
        <w:ind w:firstLine="720"/>
        <w:jc w:val="both"/>
        <w:rPr>
          <w:rFonts w:ascii="Palatino Linotype" w:hAnsi="Palatino Linotype"/>
        </w:rPr>
      </w:pPr>
      <w:r w:rsidRPr="0012564B">
        <w:rPr>
          <w:rFonts w:ascii="Palatino Linotype" w:hAnsi="Palatino Linotype"/>
        </w:rPr>
        <w:t>In view of these normative and practical issues, it is important to conduct an in-depth study of the position of judicial pardon in the Indonesian criminal justice system, particularly in relation to the need for harmonization between the 2023 Criminal Code and the Criminal Procedure Code. This lack of harmony not only reflects the weakness of integrated legislative design, but also indicates a gap between the vision of criminal law reform and the procedural law instruments that should support it. Therefore, this study is relevant and urgent, not only as an academic effort to understand the configuration of modern Indonesian criminal law, but also as a conceptual contribution to strengthening the legitimacy and accountability of judicial decisions within the framework of the national criminal justice system. In this context, this study aims to answer how judicial pardons are positioned in the punishment system according to the 2023 Criminal Code, and to what extent the current criminal law system has provided a normative basis for its legitimate and accountable application.</w:t>
      </w:r>
    </w:p>
    <w:p w14:paraId="03E35C11" w14:textId="2D8031A3" w:rsidR="009B2A69" w:rsidRDefault="009B2A69" w:rsidP="009B2A69">
      <w:pPr>
        <w:spacing w:line="276" w:lineRule="auto"/>
        <w:ind w:firstLine="720"/>
        <w:jc w:val="both"/>
        <w:rPr>
          <w:rFonts w:ascii="Palatino Linotype" w:hAnsi="Palatino Linotype"/>
        </w:rPr>
      </w:pPr>
      <w:r>
        <w:rPr>
          <w:rFonts w:ascii="Palatino Linotype" w:hAnsi="Palatino Linotype"/>
        </w:rPr>
        <w:t>Referring to the background described above, the author considers it is important to compile a scientific article entitled “</w:t>
      </w:r>
      <w:r w:rsidR="00DC3A0A">
        <w:rPr>
          <w:rFonts w:ascii="Palatino Linotype" w:hAnsi="Palatino Linotype"/>
          <w:i/>
          <w:iCs/>
        </w:rPr>
        <w:t>HARMONIZATION OF JUDICIAL PARDON IN THE 2023 CRIMINAL CODE AND CRIMINAL PROCEDURE CODE: NORMATIVE CRITICISM OF THE DESIGN OF INDONESIA’S MODERN PENAL SYSTEM</w:t>
      </w:r>
      <w:r w:rsidR="00DC3A0A">
        <w:rPr>
          <w:rFonts w:ascii="Palatino Linotype" w:hAnsi="Palatino Linotype"/>
        </w:rPr>
        <w:t xml:space="preserve"> “ with the aim of examining and analyzing two issues; (1) what is the position and scope of judicial pardon in the criminal justice system based on Law Number 1 of 2023 or the 2023 Criminal Code ?; and (2) does the current criminal justice system provide a normative basis for the legitimate and accountable implementation of judicial pardon?</w:t>
      </w:r>
    </w:p>
    <w:p w14:paraId="76A0377D" w14:textId="77777777" w:rsidR="009B2A69" w:rsidRPr="009B2A69" w:rsidRDefault="009B2A69" w:rsidP="009B2A69">
      <w:pPr>
        <w:spacing w:line="276" w:lineRule="auto"/>
        <w:ind w:firstLine="720"/>
        <w:jc w:val="both"/>
        <w:rPr>
          <w:rFonts w:ascii="Palatino Linotype" w:hAnsi="Palatino Linotype"/>
        </w:rPr>
      </w:pPr>
    </w:p>
    <w:p w14:paraId="3F774268" w14:textId="6F5FF59F" w:rsidR="00460212" w:rsidRPr="00460212" w:rsidRDefault="00460212" w:rsidP="00BF359F">
      <w:pPr>
        <w:spacing w:after="100" w:afterAutospacing="1"/>
        <w:jc w:val="both"/>
        <w:rPr>
          <w:rFonts w:ascii="Palatino Linotype" w:hAnsi="Palatino Linotype"/>
          <w:b/>
          <w:sz w:val="22"/>
          <w:szCs w:val="22"/>
          <w:lang w:val="en-GB"/>
        </w:rPr>
      </w:pPr>
      <w:r w:rsidRPr="00460212">
        <w:rPr>
          <w:rFonts w:ascii="Palatino Linotype" w:hAnsi="Palatino Linotype"/>
          <w:b/>
          <w:sz w:val="22"/>
          <w:szCs w:val="22"/>
          <w:lang w:val="en-GB"/>
        </w:rPr>
        <w:t xml:space="preserve">METHODS </w:t>
      </w:r>
    </w:p>
    <w:p w14:paraId="7BFF8D4A" w14:textId="5072C630" w:rsidR="008B09C7" w:rsidRDefault="008B09C7" w:rsidP="00B77C59">
      <w:pPr>
        <w:spacing w:line="276" w:lineRule="auto"/>
        <w:ind w:firstLine="720"/>
        <w:jc w:val="both"/>
        <w:rPr>
          <w:rFonts w:ascii="Palatino Linotype" w:hAnsi="Palatino Linotype"/>
        </w:rPr>
      </w:pPr>
      <w:r w:rsidRPr="000E055A">
        <w:rPr>
          <w:rFonts w:ascii="Palatino Linotype" w:hAnsi="Palatino Linotype"/>
        </w:rPr>
        <w:t>This scientific article uses a normative legal research approach as its main method. This approach is carried out through an in-depth literature study of legislation, as well as an examination of legal norms, basic principles, and expert opinions used in legal science.</w:t>
      </w:r>
      <w:r>
        <w:rPr>
          <w:rFonts w:ascii="Palatino Linotype" w:hAnsi="Palatino Linotype"/>
        </w:rPr>
        <w:t>[7]</w:t>
      </w:r>
      <w:r w:rsidRPr="000E055A">
        <w:rPr>
          <w:rFonts w:ascii="Palatino Linotype" w:hAnsi="Palatino Linotype"/>
        </w:rPr>
        <w:t xml:space="preserve"> The literature review was conducted with the aim of examining the specific issue of legal vacuum in the regulation of the judicial pardon mechanism in the Indonesian criminal justice system.</w:t>
      </w:r>
    </w:p>
    <w:p w14:paraId="731EAD2A" w14:textId="327BE12E" w:rsidR="008B09C7" w:rsidRPr="000E055A" w:rsidRDefault="008B09C7" w:rsidP="00B77C59">
      <w:pPr>
        <w:spacing w:line="276" w:lineRule="auto"/>
        <w:ind w:firstLine="720"/>
        <w:jc w:val="both"/>
        <w:rPr>
          <w:rFonts w:ascii="Palatino Linotype" w:hAnsi="Palatino Linotype"/>
        </w:rPr>
      </w:pPr>
      <w:r w:rsidRPr="000E055A">
        <w:rPr>
          <w:rFonts w:ascii="Palatino Linotype" w:hAnsi="Palatino Linotype"/>
        </w:rPr>
        <w:t>The results of this study are compiled in a descriptive analytical manner, which aims to explain and examine in depth various legal norms and theories derived from relevant legal materials.</w:t>
      </w:r>
      <w:r w:rsidR="00AE4139">
        <w:rPr>
          <w:rFonts w:ascii="Palatino Linotype" w:hAnsi="Palatino Linotype"/>
        </w:rPr>
        <w:t>[8]</w:t>
      </w:r>
      <w:r w:rsidRPr="000E055A">
        <w:rPr>
          <w:rFonts w:ascii="Palatino Linotype" w:hAnsi="Palatino Linotype"/>
        </w:rPr>
        <w:t xml:space="preserve">  In particular, it relates to the issue of regulating the implementation mechanism of judicial pardon, which has been materially recognized in the 2023 Criminal Code as a form of substantive and restorative justice, in order to draw a conclusion. A literature study method was used to obtain the data used in this study. The analysis method began with several primary legal sources, namely a number of relevant laws and regulations such as Law Number 1 of 2023 concerning the Criminal Code and Law Number 8 of 1981 concerning the Criminal Procedure Code. The secondary legal sources are scientific articles, journals, and books on capital market crimes.</w:t>
      </w:r>
    </w:p>
    <w:p w14:paraId="6BF8C480" w14:textId="7AE610FA" w:rsidR="008B09C7" w:rsidRPr="008B09C7" w:rsidRDefault="008B09C7" w:rsidP="008B09C7">
      <w:pPr>
        <w:spacing w:after="60"/>
        <w:jc w:val="both"/>
        <w:rPr>
          <w:rFonts w:ascii="Palatino Linotype" w:hAnsi="Palatino Linotype"/>
          <w:bCs/>
        </w:rPr>
      </w:pPr>
    </w:p>
    <w:p w14:paraId="58587A62" w14:textId="174481BE" w:rsidR="001A3D83" w:rsidRPr="003B4095" w:rsidRDefault="001A3D83" w:rsidP="003B4095">
      <w:pPr>
        <w:spacing w:after="60"/>
        <w:jc w:val="both"/>
        <w:rPr>
          <w:rFonts w:ascii="Palatino Linotype" w:hAnsi="Palatino Linotype"/>
          <w:b/>
        </w:rPr>
        <w:sectPr w:rsidR="001A3D83" w:rsidRPr="003B4095" w:rsidSect="00F114DC">
          <w:headerReference w:type="first" r:id="rId15"/>
          <w:footerReference w:type="first" r:id="rId16"/>
          <w:type w:val="continuous"/>
          <w:pgSz w:w="11907" w:h="16840"/>
          <w:pgMar w:top="1418" w:right="1418" w:bottom="1418" w:left="1418" w:header="811" w:footer="1134" w:gutter="0"/>
          <w:pgNumType w:start="1"/>
          <w:cols w:space="720"/>
          <w:titlePg/>
        </w:sectPr>
      </w:pPr>
      <w:r w:rsidRPr="008B09C7">
        <w:rPr>
          <w:rFonts w:ascii="Palatino Linotype" w:hAnsi="Palatino Linotype"/>
          <w:b/>
        </w:rPr>
        <w:t xml:space="preserve">RESULTS AND DISCUSSION </w:t>
      </w:r>
    </w:p>
    <w:p w14:paraId="04255487" w14:textId="1DCBD399" w:rsidR="00744D08" w:rsidRDefault="003B4095" w:rsidP="00E319AF">
      <w:pPr>
        <w:spacing w:after="120"/>
        <w:ind w:left="720"/>
        <w:jc w:val="both"/>
        <w:rPr>
          <w:rFonts w:ascii="Palatino Linotype" w:hAnsi="Palatino Linotype"/>
          <w:b/>
          <w:lang w:val="en-GB"/>
        </w:rPr>
      </w:pPr>
      <w:r>
        <w:rPr>
          <w:rFonts w:ascii="Palatino Linotype" w:hAnsi="Palatino Linotype"/>
          <w:b/>
          <w:lang w:val="en-GB"/>
        </w:rPr>
        <w:t xml:space="preserve">3.1 The Position and Scope of </w:t>
      </w:r>
      <w:r>
        <w:rPr>
          <w:rFonts w:ascii="Palatino Linotype" w:hAnsi="Palatino Linotype"/>
          <w:b/>
          <w:i/>
          <w:iCs/>
          <w:lang w:val="en-GB"/>
        </w:rPr>
        <w:t>Judicial Pardon</w:t>
      </w:r>
      <w:r>
        <w:rPr>
          <w:rFonts w:ascii="Palatino Linotype" w:hAnsi="Palatino Linotype"/>
          <w:b/>
          <w:lang w:val="en-GB"/>
        </w:rPr>
        <w:t xml:space="preserve"> in The Criminal Justice System Based on Law No. 1 of 2023 or </w:t>
      </w:r>
      <w:proofErr w:type="gramStart"/>
      <w:r>
        <w:rPr>
          <w:rFonts w:ascii="Palatino Linotype" w:hAnsi="Palatino Linotype"/>
          <w:b/>
          <w:lang w:val="en-GB"/>
        </w:rPr>
        <w:t>The</w:t>
      </w:r>
      <w:proofErr w:type="gramEnd"/>
      <w:r>
        <w:rPr>
          <w:rFonts w:ascii="Palatino Linotype" w:hAnsi="Palatino Linotype"/>
          <w:b/>
          <w:lang w:val="en-GB"/>
        </w:rPr>
        <w:t xml:space="preserve"> 2023 Criminal Code</w:t>
      </w:r>
    </w:p>
    <w:p w14:paraId="3AF989F6"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The evolution of Indonesia's modern criminal justice system has resulted in the existence of a criminal justice system that is no longer based solely on the principle of retribution but has developed towards corrective, preventive, and restorative functions. This shift in the concept of punishment in modern criminal law has also changed the purpose of punishment, which was originally to impose penalties but has now shifted to the goal of restoring victims, perpetrators, and the social order that has been disrupted by a criminal act. This means that punishment in modern criminal law requires the creation of justice and restoration for all aspects involved, especially the perpetrators and victims. To achieve the objectives of punishment in modern criminal law, flexibility is needed in the process of punishment or sentencing. One way to achieve this objective is through non-punitive alternatives, which are important to regulate in order to align judicial decisions with substantive values of justice.</w:t>
      </w:r>
    </w:p>
    <w:p w14:paraId="47BDE357"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One of the alternative non-punishment concepts currently developing in Indonesia's modern criminal justice system is the concept of judicial pardon. Conceptually, judicial pardon can be defined as an act of forgiveness granted by a judge to a defendant who has been proven guilty in court, but for certain humanitarian, social, or moral reasons, the judge decides not to impose a sentence.</w:t>
      </w:r>
      <w:r w:rsidR="00CD1236">
        <w:rPr>
          <w:rFonts w:ascii="Palatino Linotype" w:hAnsi="Palatino Linotype"/>
        </w:rPr>
        <w:t>[9]</w:t>
      </w:r>
      <w:r w:rsidRPr="000E055A">
        <w:rPr>
          <w:rFonts w:ascii="Palatino Linotype" w:hAnsi="Palatino Linotype"/>
        </w:rPr>
        <w:t xml:space="preserve"> In criminal law doctrine, judicial pardon is a form of judicial discretion in the context of imposing sanctions, based on the assessment that punishment is not always the only way to achieve justice. The theoretical basis of judicial pardon can be traced back to the thinking of H.L.A. Hart, who distinguished between “rule of recognition” and “discretionary justice” in legal practice.</w:t>
      </w:r>
      <w:r w:rsidR="00CD1236">
        <w:rPr>
          <w:rFonts w:ascii="Palatino Linotype" w:hAnsi="Palatino Linotype"/>
        </w:rPr>
        <w:t>[10]</w:t>
      </w:r>
      <w:r w:rsidRPr="000E055A">
        <w:rPr>
          <w:rFonts w:ascii="Palatino Linotype" w:hAnsi="Palatino Linotype"/>
        </w:rPr>
        <w:t xml:space="preserve">  Hart emphasized that in modern legal systems, in addition to standard rules, there is also room for discretion given to law enforcers, especially judges, to apply the law contextually in order to achieve substantive justice. Judicial pardon is also in line with the principle of individualization of punishment, which is the principle that punishment should not be imposed technically without considering the character, background, and motives of the perpetrator.</w:t>
      </w:r>
      <w:r w:rsidR="00CD1236">
        <w:rPr>
          <w:rFonts w:ascii="Palatino Linotype" w:hAnsi="Palatino Linotype"/>
        </w:rPr>
        <w:t>[11]</w:t>
      </w:r>
    </w:p>
    <w:p w14:paraId="1D0C5785"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 xml:space="preserve">The development of modern criminal law thinking has undergone a paradigm shift towards rehabilitative and restorative models, which place greater emphasis on restoring social conditions, balancing the interests of perpetrators and victims, and reintegrating defendants into society. Judicial pardons have emerged as one tangible manifestation of this change. By giving </w:t>
      </w:r>
      <w:proofErr w:type="gramStart"/>
      <w:r w:rsidRPr="000E055A">
        <w:rPr>
          <w:rFonts w:ascii="Palatino Linotype" w:hAnsi="Palatino Linotype"/>
        </w:rPr>
        <w:t>judges</w:t>
      </w:r>
      <w:proofErr w:type="gramEnd"/>
      <w:r w:rsidRPr="000E055A">
        <w:rPr>
          <w:rFonts w:ascii="Palatino Linotype" w:hAnsi="Palatino Linotype"/>
        </w:rPr>
        <w:t xml:space="preserve"> the discretion to determine that punishment is not the best option in every case, especially when the crime was committed under extraordinary mitigating circumstances, such as economic pressure, social self-defense, or as a result of power imbalances. From the perspective of substantive justice, which places greater emphasis on actual values of justice than on procedural compliance, judicial pardon serves as a counterbalance between legal certainty and justice. Its implementation can be a corrective instrument against overly formal and rigid application of the law, as well as an expression of the active role of judges as guardians of the morality of the judicial system.</w:t>
      </w:r>
      <w:r w:rsidR="00CD1236">
        <w:rPr>
          <w:rFonts w:ascii="Palatino Linotype" w:hAnsi="Palatino Linotype"/>
        </w:rPr>
        <w:t>[12]</w:t>
      </w:r>
    </w:p>
    <w:p w14:paraId="3BEAABEB"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The emergence of the concept of judicial pardon in Article 54 paragraph (2) of the 2023 Criminal Code introduces a mechanism that was previously unknown in the Old Criminal Code. The wording of the article broadly states that judges have the option to impose or not impose punishment on perpetrators of criminal acts based on factors related to justice and humanity. The formulation of the article reflects the recognition of extraordinary situations that morally and socially negate the need to impose punishment, even though the elements of the crime have been fulfilled.</w:t>
      </w:r>
    </w:p>
    <w:p w14:paraId="51DBBF80"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In the philosophical dimension of criminal law, judicial pardon as regulated in Article 54 paragraph (2) of the 2023 Criminal Code is intended to place substantive justice above formal legal certainty. Punishment based on formal evidence often fails to reveal the reasons why perpetrators commit crimes from a humanitarian perspective, such as social coercion, psychological pressure, or moral emergencies. It is in this context that judicial pardon  serves as a “humanitarian valve” that restores the law to its essence as a means of ensuring justice in society. This is in line with the philosophy of modern criminal law, which is not only normative and dogmatic, but also capable of responding to social and moral realities.</w:t>
      </w:r>
    </w:p>
    <w:p w14:paraId="4827E574"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In legal terms, the mechanism or concept of judicial pardon is part of the judge's discretion in the sentencing process, which is guaranteed by the principle of individualization of punishment. This principle gives judges the freedom to assess not only the formal elements of a crime, but also the personality of the perpetrator, their motives, and the social consequences of their actions. The authority possessed by judges in the concept of judicial pardon must be viewed as a form of strengthening the position of judges as central actors in the criminal justice system. This means that the role of judges is not only as “mouthpieces of the law” but also as guardians of the balance between legality and substantive justice.</w:t>
      </w:r>
      <w:r w:rsidR="00DB41BE">
        <w:rPr>
          <w:rFonts w:ascii="Palatino Linotype" w:hAnsi="Palatino Linotype"/>
        </w:rPr>
        <w:t>[13]</w:t>
      </w:r>
    </w:p>
    <w:p w14:paraId="37253631"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 xml:space="preserve">From a sociological perspective, judicial pardons are also important in reducing the phenomenon of overcriminalization. In practice, many perpetrators of criminal acts come from weak socioeconomic backgrounds, act out of necessity, or are caught up in complex social conflicts. These factors can be seen in several examples of criminal cases, such as the cases of Nenek Minah, Nenek </w:t>
      </w:r>
      <w:proofErr w:type="spellStart"/>
      <w:r w:rsidRPr="000E055A">
        <w:rPr>
          <w:rFonts w:ascii="Palatino Linotype" w:hAnsi="Palatino Linotype"/>
        </w:rPr>
        <w:t>Asyani</w:t>
      </w:r>
      <w:proofErr w:type="spellEnd"/>
      <w:r w:rsidRPr="000E055A">
        <w:rPr>
          <w:rFonts w:ascii="Palatino Linotype" w:hAnsi="Palatino Linotype"/>
        </w:rPr>
        <w:t xml:space="preserve">, Irfan, </w:t>
      </w:r>
      <w:proofErr w:type="spellStart"/>
      <w:r w:rsidRPr="000E055A">
        <w:rPr>
          <w:rFonts w:ascii="Palatino Linotype" w:hAnsi="Palatino Linotype"/>
        </w:rPr>
        <w:t>Valencya</w:t>
      </w:r>
      <w:proofErr w:type="spellEnd"/>
      <w:r w:rsidRPr="000E055A">
        <w:rPr>
          <w:rFonts w:ascii="Palatino Linotype" w:hAnsi="Palatino Linotype"/>
        </w:rPr>
        <w:t>, Kakek Harso Taruno, and many other examples of criminals who come from weak social backgrounds and are imbued with values of humanity and substantive justice. Based on these factual case examples, the punishment imposed by judges has actually had counterproductive effects, such as the criminalization of poverty, increasing the burden on correctional institutions, and repeat offenses (recidivism). The phenomenon of over-criminalization has also led to an increase in the number of cases brought to court, including cases with low losses or social impact. In this context, judicial pardons serve as instruments of moral and social selection that help judges determine which cases warrant criminal punishment and which are better resolved through non-punitive approaches.</w:t>
      </w:r>
      <w:r w:rsidR="00DB41BE">
        <w:rPr>
          <w:rFonts w:ascii="Palatino Linotype" w:hAnsi="Palatino Linotype"/>
        </w:rPr>
        <w:t>[14]</w:t>
      </w:r>
      <w:r w:rsidRPr="000E055A">
        <w:rPr>
          <w:rFonts w:ascii="Palatino Linotype" w:hAnsi="Palatino Linotype"/>
        </w:rPr>
        <w:t xml:space="preserve"> Thus, judicial pardon is a mechanism that supports punishment efforts with a deterrent effect and opens up space for the development of a more human-centered and adaptive punishment system.</w:t>
      </w:r>
    </w:p>
    <w:p w14:paraId="7C03E9C4"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In the Indonesian criminal justice system, judicial pardon is a normative innovation that shifts the retributive model of punishment toward a flexible and contextual model. The position of judicial pardon as part of the criminal sanction system in Indonesia has two important meanings, namely: 1) it is not acquittal due to innocence, but rather release from punishment even though the perpetrator has been proven guilty; and 2) it is not a pardon or amnesty originating from executive power, but rather a judicial action in the realm of court decisions.</w:t>
      </w:r>
      <w:r w:rsidR="00DB41BE">
        <w:rPr>
          <w:rFonts w:ascii="Palatino Linotype" w:hAnsi="Palatino Linotype"/>
        </w:rPr>
        <w:t>[15]</w:t>
      </w:r>
      <w:r w:rsidRPr="000E055A">
        <w:rPr>
          <w:rFonts w:ascii="Palatino Linotype" w:hAnsi="Palatino Linotype"/>
        </w:rPr>
        <w:t xml:space="preserve"> Thus, the position of judicial pardon is that of a “nil punishment” that is granted not because there is no criminal act, but because the judge considers that punishment is not in line with the sense of justice in society.</w:t>
      </w:r>
    </w:p>
    <w:p w14:paraId="498AD731" w14:textId="77777777" w:rsidR="00B77C59" w:rsidRDefault="003B4095" w:rsidP="00B77C59">
      <w:pPr>
        <w:spacing w:line="276" w:lineRule="auto"/>
        <w:ind w:firstLine="720"/>
        <w:jc w:val="both"/>
        <w:rPr>
          <w:rFonts w:ascii="Palatino Linotype" w:hAnsi="Palatino Linotype"/>
        </w:rPr>
      </w:pPr>
      <w:r w:rsidRPr="000E055A">
        <w:rPr>
          <w:rFonts w:ascii="Palatino Linotype" w:hAnsi="Palatino Linotype"/>
        </w:rPr>
        <w:t>Judicial pardons also reflect the idea that justice lies not only in the imposition of punishment, but also in the courage of the law to refrain from punishing when punishment has the potential to create new injustices.</w:t>
      </w:r>
      <w:r w:rsidR="00903B08">
        <w:rPr>
          <w:rFonts w:ascii="Palatino Linotype" w:hAnsi="Palatino Linotype"/>
        </w:rPr>
        <w:t>[16]</w:t>
      </w:r>
      <w:r w:rsidRPr="000E055A">
        <w:rPr>
          <w:rFonts w:ascii="Palatino Linotype" w:hAnsi="Palatino Linotype"/>
        </w:rPr>
        <w:t xml:space="preserve"> Judicial pardon has an ethical function in the modern penal system; it is not a weakening of the law, but rather a strengthening of contextual justice and humanitarian values that are not always reflected in the text of the law. However, the strong normative position of judicial pardon in the 2023 Criminal Code has not been balanced with procedural support in the Criminal Procedure Code, creating difficulties in consistent and accountable implementation mechanisms. The absence of a formal mechanism in the Criminal Procedure Code creates an imbalance in the national criminal law structure and has the potential to obscure the philosophical purpose of judicial pardon. </w:t>
      </w:r>
    </w:p>
    <w:p w14:paraId="5863523D" w14:textId="5CD7454F" w:rsidR="003B4095" w:rsidRPr="000E055A" w:rsidRDefault="003B4095" w:rsidP="00B77C59">
      <w:pPr>
        <w:spacing w:line="276" w:lineRule="auto"/>
        <w:ind w:firstLine="720"/>
        <w:jc w:val="both"/>
        <w:rPr>
          <w:rFonts w:ascii="Palatino Linotype" w:hAnsi="Palatino Linotype"/>
        </w:rPr>
      </w:pPr>
      <w:r w:rsidRPr="000E055A">
        <w:rPr>
          <w:rFonts w:ascii="Palatino Linotype" w:hAnsi="Palatino Linotype"/>
        </w:rPr>
        <w:t>As a form of innovation in the objectives of punishment, judicial pardon as stated in Article 54 paragraph (2) of the 2023 Criminal Code has a strategic position in Indonesia's modern punishment system. Its position is not intended to eliminate the meaning of criminal responsibility, but rather as a legal instrument that reflects a paradigm shift from retributive punishment to a more adaptive, humanistic, and substantive punishment. Philosophically, the existence of judicial pardon is rooted in the principles of distributive justice and legal morality, where justice is not only seen from the certainty of punishment, but from the concrete context of humanity behind criminal events. Sociologically, its existence also responds to the need for a flexible and responsive punishment system to the complexity of social reality, including the need for different treatment of perpetrators of criminal acts from vulnerable groups such as economically disadvantaged communities, the elderly, or those who act in situations of duress to defend themselves. Legally, judicial pardon is a legal legitimation that provides room for judges to use their discretion in handing down non-punitive verdicts for perpetrators of criminal acts whose sentences do not exceed five years, as long as humanitarian considerations and substantive justice can be proven objectively. Thus, the scope of judicial pardon lies within the corridor of selective minor crimes, not as a form of absolute exemption from responsibility, but as a manifestation of empathy and morality in criminal law. Therefore, it can be asserted that judicial pardon is not a betrayal of the legal system, but rather enriches criminal law with a more contextual, humane approach and in line with the values of social justice. Therefore, in the future, reconstruction steps are needed in the renewal of criminal procedure law so that innovation does not stop at the symbolic level but becomes a functional instrument in realizing justice that lives in society.</w:t>
      </w:r>
    </w:p>
    <w:p w14:paraId="2F60A59E" w14:textId="77777777" w:rsidR="003B4095" w:rsidRPr="003B4095" w:rsidRDefault="003B4095" w:rsidP="003B4095">
      <w:pPr>
        <w:spacing w:after="120"/>
        <w:jc w:val="both"/>
        <w:rPr>
          <w:rFonts w:ascii="Palatino Linotype" w:hAnsi="Palatino Linotype"/>
          <w:bCs/>
          <w:lang w:val="en-GB"/>
        </w:rPr>
      </w:pPr>
    </w:p>
    <w:p w14:paraId="0F9083C9" w14:textId="0BFF0899" w:rsidR="003B4095" w:rsidRDefault="003B4095" w:rsidP="00903B08">
      <w:pPr>
        <w:spacing w:after="120"/>
        <w:ind w:left="720"/>
        <w:jc w:val="both"/>
        <w:rPr>
          <w:rFonts w:ascii="Palatino Linotype" w:hAnsi="Palatino Linotype"/>
          <w:b/>
          <w:lang w:val="en-GB"/>
        </w:rPr>
      </w:pPr>
      <w:r>
        <w:rPr>
          <w:rFonts w:ascii="Palatino Linotype" w:hAnsi="Palatino Linotype"/>
          <w:b/>
          <w:lang w:val="en-GB"/>
        </w:rPr>
        <w:t>3.2</w:t>
      </w:r>
      <w:r w:rsidR="00903B08">
        <w:rPr>
          <w:rFonts w:ascii="Palatino Linotype" w:hAnsi="Palatino Linotype"/>
          <w:b/>
          <w:lang w:val="en-GB"/>
        </w:rPr>
        <w:t xml:space="preserve">Does The Current Indonesian Criminal Justice System Provide a Normative Basis for The Legitimate and Accountable Implementation of </w:t>
      </w:r>
      <w:r w:rsidR="00903B08" w:rsidRPr="00903B08">
        <w:rPr>
          <w:rFonts w:ascii="Palatino Linotype" w:hAnsi="Palatino Linotype"/>
          <w:b/>
          <w:i/>
          <w:iCs/>
          <w:lang w:val="en-GB"/>
        </w:rPr>
        <w:t>Judicial Pardon</w:t>
      </w:r>
    </w:p>
    <w:p w14:paraId="3C2F26E8"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lang w:eastAsia="id-ID"/>
        </w:rPr>
        <w:t>In modern criminal law systems, judicial discretion must be accommodated within a clear, limited, and accountable legal framework. This is important in order to maintain legal certainty, equality before the law, and prevent the abuse of judicial authority. Therefore, every form of special authority, including judicial pardons, requires explicit and operational normative support. In the long term, the position of judicial pardon will be largely determined by the direction of national criminal justice policy, particularly in the revision of the Criminal Procedure Code, which is still ongoing. If the revision of the Criminal Procedure Code explicitly accommodates the mechanism of judicial pardon, whether through application procedures, evaluation parameters, or the form of the verdict, then judicial pardon can become a powerful instrument of criminal justice. Conversely, without procedural law reform, the existence of judicial pardon will only be inoperative legal rhetoric. Therefore, strengthening the position of judicial pardon in the criminal justice architecture must include reformulating criminal procedural norms that support the practice of judicial pardon, developing judicial guidelines by the Supreme Court (e.g., in the form of a Supreme Court Circular Letter), and training and updating judges' perspectives on the principles of substantive justice and restorative justice.</w:t>
      </w:r>
    </w:p>
    <w:p w14:paraId="03CFE5C6"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Before examining further the Indonesian positive law system, it is necessary to first explain the meaning of legitimate and accountable in the context of law, particularly in relation to the granting of judicial pardons. Legitimate refers to the acceptance and recognition by society of the authority or power possessed by individuals, groups, or institutions to make and implement binding decisions. Legitimacy is not only related to formal legality, but also includes the moral, social, and ethical dimensions that underlie such acceptance. Several expert opinions that can be used to interpret legitimacy in the context of law include John Rawls in his work A Theory of Justice, which states that legal legitimacy depends on substantive justice.</w:t>
      </w:r>
      <w:r w:rsidR="00526D2A">
        <w:rPr>
          <w:rFonts w:ascii="Palatino Linotype" w:hAnsi="Palatino Linotype"/>
        </w:rPr>
        <w:t>[17]</w:t>
      </w:r>
      <w:r w:rsidRPr="000E055A">
        <w:rPr>
          <w:rFonts w:ascii="Palatino Linotype" w:hAnsi="Palatino Linotype"/>
        </w:rPr>
        <w:t xml:space="preserve">  Laws are considered valid if they reflect the principles of justice agreed upon by society. Thus, legitimacy is obtained when laws are not only made procedurally, but are also morally just. Meanwhile, according to Franz Magnis Suseno, legitimacy is related to moral and social acceptance of the law.</w:t>
      </w:r>
      <w:r w:rsidR="00526D2A">
        <w:rPr>
          <w:rFonts w:ascii="Palatino Linotype" w:hAnsi="Palatino Linotype"/>
        </w:rPr>
        <w:t>[18]</w:t>
      </w:r>
      <w:r w:rsidR="00526D2A" w:rsidRPr="000E055A">
        <w:rPr>
          <w:rFonts w:ascii="Palatino Linotype" w:hAnsi="Palatino Linotype"/>
        </w:rPr>
        <w:t xml:space="preserve"> </w:t>
      </w:r>
      <w:r w:rsidRPr="000E055A">
        <w:rPr>
          <w:rFonts w:ascii="Palatino Linotype" w:hAnsi="Palatino Linotype"/>
        </w:rPr>
        <w:t>A law that is legal is not necessarily legitimate if it is not supported by values of justice that are recognized by society. Thus, a criminal policy is said to be legitimate if it is based on valid and applicable legal rules (legal basis) and is in line with the principles of the rule of law. Meanwhile, accountability refers to the existence of mechanisms for responsibility, transparency, and control that ensure that judges' decisions are not arbitrary and can be reviewed through legal procedures.</w:t>
      </w:r>
      <w:r w:rsidR="00526D2A">
        <w:rPr>
          <w:rFonts w:ascii="Palatino Linotype" w:hAnsi="Palatino Linotype"/>
        </w:rPr>
        <w:t>[19]</w:t>
      </w:r>
      <w:r w:rsidRPr="000E055A">
        <w:rPr>
          <w:rFonts w:ascii="Palatino Linotype" w:hAnsi="Palatino Linotype"/>
        </w:rPr>
        <w:t xml:space="preserve">  Accountability in the legal context is not only related to compliance with rules and regulations, but also includes moral and ethical obligations to be accountable for actions and decisions to the public and the authorities. In the context of judicial pardons, these two principles can only be realized if there is a normative and procedural framework that guarantees that the authority of judges is not only legal but also protected from potential abuse of power (abuse of discretion).</w:t>
      </w:r>
      <w:r w:rsidR="00526D2A">
        <w:rPr>
          <w:rFonts w:ascii="Palatino Linotype" w:hAnsi="Palatino Linotype"/>
        </w:rPr>
        <w:t>[20]</w:t>
      </w:r>
    </w:p>
    <w:p w14:paraId="05BE1AA0"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From a substantive legal perspective, judicial pardons are based on Article 54 paragraph (2) of the 2023 Criminal Code, which essentially stipulates that “In the event of extraordinary circumstances such as the severity or lightness of the criminal act, personal circumstances, and circumstances at the time the act was committed, the judge may decide not to impose a sentence even if the defendant is proven guilty.” This provision gives explicit authority to judges to impose non-punitive sentences. This norm is clearly a form of recognition of judicial discretion based on substantive considerations of justice. However, this norm is still declarative and open-ended, without any explanation of how the procedure for applying this discretion (judicial pardon) is to be applied in court and how this provision relates to the process of evidence and the verdict that will be issued by the judge. Thus, although the 2023 Criminal Code has provided legal standing, it is still not sufficient to serve as a complete normative framework to guarantee the legitimacy and accountability of the implementation of judicial pardon.</w:t>
      </w:r>
    </w:p>
    <w:p w14:paraId="3724AE36"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 xml:space="preserve">One of the crucial issues in the existence of judicial pardons, as regulated in Article 54 paragraph (2) of the 2023 Criminal Code, is the disharmony between substantive criminal law and formal criminal law in the future. Although the Criminal Code explicitly recognizes the discretion of judges not to impose criminal penalties in certain circumstances that can be considered as an implementation of the substantive justice approach, the Criminal Procedure Code as criminal procedural law does not yet provide a formal mechanism that can effectively enforce this norm. In legal doctrine, the validity of a criminal norm is not only determined by the existence of a substantive legal basis, but must also be supported by an adequate procedural system (procedural guarantees). Quoting Prof. </w:t>
      </w:r>
      <w:proofErr w:type="spellStart"/>
      <w:r w:rsidRPr="000E055A">
        <w:rPr>
          <w:rFonts w:ascii="Palatino Linotype" w:hAnsi="Palatino Linotype"/>
        </w:rPr>
        <w:t>Satjipto</w:t>
      </w:r>
      <w:proofErr w:type="spellEnd"/>
      <w:r w:rsidRPr="000E055A">
        <w:rPr>
          <w:rFonts w:ascii="Palatino Linotype" w:hAnsi="Palatino Linotype"/>
        </w:rPr>
        <w:t xml:space="preserve"> Rahardjo, law cannot live in text, but rather in practice and its social implementation process.</w:t>
      </w:r>
      <w:r w:rsidR="00B46A3B">
        <w:rPr>
          <w:rFonts w:ascii="Palatino Linotype" w:hAnsi="Palatino Linotype"/>
        </w:rPr>
        <w:t>[21]</w:t>
      </w:r>
      <w:r w:rsidRPr="000E055A">
        <w:rPr>
          <w:rFonts w:ascii="Palatino Linotype" w:hAnsi="Palatino Linotype"/>
        </w:rPr>
        <w:t xml:space="preserve">  Therefore, a criminal norm that does not have a procedure for its application has the potential to become a non-self-executing norm or even a dead letter in judicial practice.</w:t>
      </w:r>
      <w:r w:rsidR="00B46A3B">
        <w:rPr>
          <w:rFonts w:ascii="Palatino Linotype" w:hAnsi="Palatino Linotype"/>
        </w:rPr>
        <w:t>[22]</w:t>
      </w:r>
    </w:p>
    <w:p w14:paraId="5FF8E8CA"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 xml:space="preserve">As is well known, the provisions of Article 54 paragraph (2) of the 2023 Criminal Code are draft norms designed to open up important space in the application of the principle of </w:t>
      </w:r>
      <w:proofErr w:type="spellStart"/>
      <w:r w:rsidRPr="00B97785">
        <w:rPr>
          <w:rFonts w:ascii="Palatino Linotype" w:hAnsi="Palatino Linotype"/>
          <w:i/>
          <w:iCs/>
        </w:rPr>
        <w:t>ultimum</w:t>
      </w:r>
      <w:proofErr w:type="spellEnd"/>
      <w:r w:rsidRPr="00B97785">
        <w:rPr>
          <w:rFonts w:ascii="Palatino Linotype" w:hAnsi="Palatino Linotype"/>
          <w:i/>
          <w:iCs/>
        </w:rPr>
        <w:t xml:space="preserve"> </w:t>
      </w:r>
      <w:proofErr w:type="spellStart"/>
      <w:r w:rsidRPr="00B97785">
        <w:rPr>
          <w:rFonts w:ascii="Palatino Linotype" w:hAnsi="Palatino Linotype"/>
          <w:i/>
          <w:iCs/>
        </w:rPr>
        <w:t>remedium</w:t>
      </w:r>
      <w:proofErr w:type="spellEnd"/>
      <w:r w:rsidRPr="000E055A">
        <w:rPr>
          <w:rFonts w:ascii="Palatino Linotype" w:hAnsi="Palatino Linotype"/>
        </w:rPr>
        <w:t xml:space="preserve"> with a restorative approach. However, in the Criminal Procedure Code as criminal procedural law, there is no article that explicitly provides a procedure for judges to identify and assess the conditions that can be taken into consideration by judges, such as the personal background of the perpetrator, the severity of the crime, and other extraordinary circumstances for granting judicial pardon. The Criminal Procedure Code also does not provide a mechanism regarding the form of a verdict for judicial pardon even if the perpetrator of the crime is proven guilty. There are also no regulations regarding the rights of prosecutors or defendants to file objections, appeals, or cassation against verdicts declaring judicial pardon. Furthermore, the implications of execution and the legal status of defendants after verdicts without punishment have not been regulated.</w:t>
      </w:r>
    </w:p>
    <w:p w14:paraId="01AAE8FC"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In addition to the absence of technical regulations in the Criminal Procedure Code, there are currently no derivative regulations in the form of implementing regulations such as Supreme Court Regulations (PERMA), Supreme Court Circular Letters (SEMA), or Attorney General's Office or Police Regulations that technically and specifically regulate the procedures for implementing judicial pardons. If this situation is allowed to continue, it has the potential to cause the materially valid norms to lack a measurable scope of implementation, ultimately leading to legal uncertainty in their application.</w:t>
      </w:r>
    </w:p>
    <w:p w14:paraId="004E38B2"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A further impact is that if judicial pardons continue to be carried out without the support of the Criminal Procedure Code or other implementing instruments, the judge's decision has the potential to conflict with the principle of due process of law. In the context of an integrated criminal justice system, this has the potential to cause disharmony between law enforcement agencies. The Attorney General's Office, as the executor of criminal decisions, has no basis for executing non-punitive verdicts, while correctional institutions and the police also lose the legal basis for recording the legal status of defendants. As a result, even though judicial pardons are legally valid, their implementation does not yet have the normative prerequisites to be considered legitimate and institutionally accountable.</w:t>
      </w:r>
    </w:p>
    <w:p w14:paraId="742D0140"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In the legal system theory proposed by Lawrence M Friedman, a norm is considered successful if there is continuity between legal substance, legal structure, and legal culture.</w:t>
      </w:r>
      <w:r w:rsidR="00DA29A7">
        <w:rPr>
          <w:rFonts w:ascii="Palatino Linotype" w:hAnsi="Palatino Linotype"/>
        </w:rPr>
        <w:t>[23]</w:t>
      </w:r>
      <w:r w:rsidRPr="000E055A">
        <w:rPr>
          <w:rFonts w:ascii="Palatino Linotype" w:hAnsi="Palatino Linotype"/>
        </w:rPr>
        <w:t xml:space="preserve">  Similarly, quoting </w:t>
      </w:r>
      <w:proofErr w:type="spellStart"/>
      <w:r w:rsidRPr="000E055A">
        <w:rPr>
          <w:rFonts w:ascii="Palatino Linotype" w:hAnsi="Palatino Linotype"/>
        </w:rPr>
        <w:t>Jimly</w:t>
      </w:r>
      <w:proofErr w:type="spellEnd"/>
      <w:r w:rsidRPr="000E055A">
        <w:rPr>
          <w:rFonts w:ascii="Palatino Linotype" w:hAnsi="Palatino Linotype"/>
        </w:rPr>
        <w:t xml:space="preserve"> Asshiddiqie, the institutional legitimacy of a norm is not only measured by its existence in law, but also by the extent to which it can be operationalized by the relevant implementing agencies.</w:t>
      </w:r>
      <w:r w:rsidR="00DA29A7">
        <w:rPr>
          <w:rFonts w:ascii="Palatino Linotype" w:hAnsi="Palatino Linotype"/>
        </w:rPr>
        <w:t>[24]</w:t>
      </w:r>
      <w:r w:rsidRPr="000E055A">
        <w:rPr>
          <w:rFonts w:ascii="Palatino Linotype" w:hAnsi="Palatino Linotype"/>
        </w:rPr>
        <w:t xml:space="preserve">  Without the support of derivative regulations, norms are merely symbolic and risk not being implemented (non-executory). This is in line with the opinion of Prof. Barda Nawawi Arief that the success of criminal law reform is not enough to stop at the conceptual and legislative aspects, but must touch on the aspects of legal structure and culture.</w:t>
      </w:r>
    </w:p>
    <w:p w14:paraId="2F962E83"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Based on the above description, it can be seen that the regulation regarding judicial pardon in the Indonesian criminal law system through Article 54 paragraph (2) of the 2023 Criminal Code marks a progressive step in the orientation of modern criminal punishment. However, this step is still only symbolic if it is not accompanied by institutional integration, technical guidelines, and synergy between other criminal law sub-systems. To assess Indonesia's actual position in developing this mechanism, it is important to conduct a systemic evaluation as well as a comparative study of countries that have already adopted similar principles in a mature and integrated manner.</w:t>
      </w:r>
    </w:p>
    <w:p w14:paraId="23E6D80E"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Judicial Pardon in the 2023 Criminal Code in Indonesia currently only covers substantive aspects, but is not yet connected to legal structures and culture, such as judge training, Supreme Court guidelines, or the collective understanding of law enforcement officials regarding the concept of discretionary pardon. If a comparative study is conducted with several civil law countries that also have concepts similar to judicial pardon, this can be seen in the Dutch and German criminal systems. In the Dutch criminal law system, particularly the Dutch Criminal Code (</w:t>
      </w:r>
      <w:proofErr w:type="spellStart"/>
      <w:r w:rsidRPr="00DA29A7">
        <w:rPr>
          <w:rFonts w:ascii="Palatino Linotype" w:hAnsi="Palatino Linotype"/>
          <w:i/>
          <w:iCs/>
        </w:rPr>
        <w:t>Wetboek</w:t>
      </w:r>
      <w:proofErr w:type="spellEnd"/>
      <w:r w:rsidRPr="00DA29A7">
        <w:rPr>
          <w:rFonts w:ascii="Palatino Linotype" w:hAnsi="Palatino Linotype"/>
          <w:i/>
          <w:iCs/>
        </w:rPr>
        <w:t xml:space="preserve"> van </w:t>
      </w:r>
      <w:proofErr w:type="spellStart"/>
      <w:r w:rsidRPr="00DA29A7">
        <w:rPr>
          <w:rFonts w:ascii="Palatino Linotype" w:hAnsi="Palatino Linotype"/>
          <w:i/>
          <w:iCs/>
        </w:rPr>
        <w:t>Strafrecht</w:t>
      </w:r>
      <w:proofErr w:type="spellEnd"/>
      <w:r w:rsidRPr="000E055A">
        <w:rPr>
          <w:rFonts w:ascii="Palatino Linotype" w:hAnsi="Palatino Linotype"/>
        </w:rPr>
        <w:t>), the discretion of judges not to impose punishment is known as the concept of “</w:t>
      </w:r>
      <w:proofErr w:type="spellStart"/>
      <w:r w:rsidRPr="00DA29A7">
        <w:rPr>
          <w:rFonts w:ascii="Palatino Linotype" w:hAnsi="Palatino Linotype"/>
          <w:i/>
          <w:iCs/>
        </w:rPr>
        <w:t>rechterlijk</w:t>
      </w:r>
      <w:proofErr w:type="spellEnd"/>
      <w:r w:rsidRPr="00DA29A7">
        <w:rPr>
          <w:rFonts w:ascii="Palatino Linotype" w:hAnsi="Palatino Linotype"/>
          <w:i/>
          <w:iCs/>
        </w:rPr>
        <w:t xml:space="preserve"> pardon</w:t>
      </w:r>
      <w:r w:rsidRPr="000E055A">
        <w:rPr>
          <w:rFonts w:ascii="Palatino Linotype" w:hAnsi="Palatino Linotype"/>
        </w:rPr>
        <w:t>”. One of the legal bases for this can be found in Article 9a, which states that “the judge may decide not to impose any punishment or measure, if he deems that the consequences of the offense and the personal circumstances of the offender make such imposition unnecessary.”</w:t>
      </w:r>
      <w:r w:rsidR="003A1889">
        <w:rPr>
          <w:rFonts w:ascii="Palatino Linotype" w:hAnsi="Palatino Linotype"/>
        </w:rPr>
        <w:t>[25]</w:t>
      </w:r>
      <w:r w:rsidRPr="000E055A">
        <w:rPr>
          <w:rFonts w:ascii="Palatino Linotype" w:hAnsi="Palatino Linotype"/>
        </w:rPr>
        <w:t xml:space="preserve"> This principle has been well integrated into the criminal procedure code (</w:t>
      </w:r>
      <w:proofErr w:type="spellStart"/>
      <w:r w:rsidRPr="00DA29A7">
        <w:rPr>
          <w:rFonts w:ascii="Palatino Linotype" w:hAnsi="Palatino Linotype"/>
          <w:i/>
          <w:iCs/>
        </w:rPr>
        <w:t>Wetboek</w:t>
      </w:r>
      <w:proofErr w:type="spellEnd"/>
      <w:r w:rsidRPr="00DA29A7">
        <w:rPr>
          <w:rFonts w:ascii="Palatino Linotype" w:hAnsi="Palatino Linotype"/>
          <w:i/>
          <w:iCs/>
        </w:rPr>
        <w:t xml:space="preserve"> van </w:t>
      </w:r>
      <w:proofErr w:type="spellStart"/>
      <w:r w:rsidRPr="00DA29A7">
        <w:rPr>
          <w:rFonts w:ascii="Palatino Linotype" w:hAnsi="Palatino Linotype"/>
          <w:i/>
          <w:iCs/>
        </w:rPr>
        <w:t>Strafvordering</w:t>
      </w:r>
      <w:proofErr w:type="spellEnd"/>
      <w:r w:rsidRPr="000E055A">
        <w:rPr>
          <w:rFonts w:ascii="Palatino Linotype" w:hAnsi="Palatino Linotype"/>
        </w:rPr>
        <w:t>), which provides a formal mechanism for prosecutors and judges to recommend or apply judicial clemency. In addition, the Netherlands has judicial guidelines that regulate indicators of exceptional circumstances, including social and psychological factors, or excessive hardship if a criminal sentence is imposed.</w:t>
      </w:r>
    </w:p>
    <w:p w14:paraId="60DEB9F8"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 xml:space="preserve">Meanwhile, in the German criminal justice system, the sentencing system is highly flexible based on the </w:t>
      </w:r>
      <w:proofErr w:type="spellStart"/>
      <w:r w:rsidRPr="000E055A">
        <w:rPr>
          <w:rFonts w:ascii="Palatino Linotype" w:hAnsi="Palatino Linotype"/>
        </w:rPr>
        <w:t>StGB</w:t>
      </w:r>
      <w:proofErr w:type="spellEnd"/>
      <w:r w:rsidRPr="000E055A">
        <w:rPr>
          <w:rFonts w:ascii="Palatino Linotype" w:hAnsi="Palatino Linotype"/>
        </w:rPr>
        <w:t xml:space="preserve"> (</w:t>
      </w:r>
      <w:proofErr w:type="spellStart"/>
      <w:r w:rsidRPr="00C85422">
        <w:rPr>
          <w:rFonts w:ascii="Palatino Linotype" w:hAnsi="Palatino Linotype"/>
          <w:i/>
          <w:iCs/>
        </w:rPr>
        <w:t>Strafgesetzbuch</w:t>
      </w:r>
      <w:proofErr w:type="spellEnd"/>
      <w:r w:rsidRPr="00C85422">
        <w:rPr>
          <w:rFonts w:ascii="Palatino Linotype" w:hAnsi="Palatino Linotype"/>
          <w:i/>
          <w:iCs/>
        </w:rPr>
        <w:t xml:space="preserve"> or German Criminal Code</w:t>
      </w:r>
      <w:r w:rsidRPr="000E055A">
        <w:rPr>
          <w:rFonts w:ascii="Palatino Linotype" w:hAnsi="Palatino Linotype"/>
        </w:rPr>
        <w:t xml:space="preserve">) and the </w:t>
      </w:r>
      <w:proofErr w:type="spellStart"/>
      <w:r w:rsidRPr="000E055A">
        <w:rPr>
          <w:rFonts w:ascii="Palatino Linotype" w:hAnsi="Palatino Linotype"/>
        </w:rPr>
        <w:t>StPO</w:t>
      </w:r>
      <w:proofErr w:type="spellEnd"/>
      <w:r w:rsidRPr="000E055A">
        <w:rPr>
          <w:rFonts w:ascii="Palatino Linotype" w:hAnsi="Palatino Linotype"/>
        </w:rPr>
        <w:t xml:space="preserve"> (</w:t>
      </w:r>
      <w:proofErr w:type="spellStart"/>
      <w:r w:rsidRPr="00C85422">
        <w:rPr>
          <w:rFonts w:ascii="Palatino Linotype" w:hAnsi="Palatino Linotype"/>
          <w:i/>
          <w:iCs/>
        </w:rPr>
        <w:t>Strafprozessordnung</w:t>
      </w:r>
      <w:proofErr w:type="spellEnd"/>
      <w:r w:rsidRPr="00C85422">
        <w:rPr>
          <w:rFonts w:ascii="Palatino Linotype" w:hAnsi="Palatino Linotype"/>
          <w:i/>
          <w:iCs/>
        </w:rPr>
        <w:t xml:space="preserve"> or German Code of Criminal Procedure</w:t>
      </w:r>
      <w:r w:rsidRPr="000E055A">
        <w:rPr>
          <w:rFonts w:ascii="Palatino Linotype" w:hAnsi="Palatino Linotype"/>
        </w:rPr>
        <w:t xml:space="preserve">). One instrument similar to a judicial pardon is </w:t>
      </w:r>
      <w:proofErr w:type="spellStart"/>
      <w:r w:rsidRPr="000E055A">
        <w:rPr>
          <w:rFonts w:ascii="Palatino Linotype" w:hAnsi="Palatino Linotype"/>
        </w:rPr>
        <w:t>Absehen</w:t>
      </w:r>
      <w:proofErr w:type="spellEnd"/>
      <w:r w:rsidRPr="000E055A">
        <w:rPr>
          <w:rFonts w:ascii="Palatino Linotype" w:hAnsi="Palatino Linotype"/>
        </w:rPr>
        <w:t xml:space="preserve"> von Strafe or waiving of punishment, as regulated in Article 60 of the </w:t>
      </w:r>
      <w:proofErr w:type="spellStart"/>
      <w:r w:rsidRPr="000E055A">
        <w:rPr>
          <w:rFonts w:ascii="Palatino Linotype" w:hAnsi="Palatino Linotype"/>
        </w:rPr>
        <w:t>StGB</w:t>
      </w:r>
      <w:proofErr w:type="spellEnd"/>
      <w:r w:rsidRPr="000E055A">
        <w:rPr>
          <w:rFonts w:ascii="Palatino Linotype" w:hAnsi="Palatino Linotype"/>
        </w:rPr>
        <w:t>. In this article, judges may not impose punishment even if the defendant is proven guilty, if the damage caused is very minor, the perpetrator is truly remorseful, and there is no longer a need for punishment</w:t>
      </w:r>
      <w:r w:rsidR="003A1889">
        <w:rPr>
          <w:rFonts w:ascii="Palatino Linotype" w:hAnsi="Palatino Linotype"/>
        </w:rPr>
        <w:t>.[26]</w:t>
      </w:r>
      <w:r w:rsidRPr="000E055A">
        <w:rPr>
          <w:rFonts w:ascii="Palatino Linotype" w:hAnsi="Palatino Linotype"/>
        </w:rPr>
        <w:t xml:space="preserve">  Furthermore, the provisions in the </w:t>
      </w:r>
      <w:proofErr w:type="spellStart"/>
      <w:r w:rsidRPr="000E055A">
        <w:rPr>
          <w:rFonts w:ascii="Palatino Linotype" w:hAnsi="Palatino Linotype"/>
        </w:rPr>
        <w:t>StPO</w:t>
      </w:r>
      <w:proofErr w:type="spellEnd"/>
      <w:r w:rsidRPr="000E055A">
        <w:rPr>
          <w:rFonts w:ascii="Palatino Linotype" w:hAnsi="Palatino Linotype"/>
        </w:rPr>
        <w:t xml:space="preserve"> provide a formal mechanism to support such decisions, including the requirement to clearly record the reasons for exemption from punishment in the verdict, as well as the objective criteria established in the established jurisprudence of the Bundesgerichtshof (German Federal Court). Germany also has a system for monitoring verdicts to ensure accountability and prevent abuse of this power of pardon.</w:t>
      </w:r>
    </w:p>
    <w:p w14:paraId="464E7258"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A comparison with the Netherlands and Germany shows that the successful implementation of judicial pardons is highly dependent on a supportive criminal procedure system and binding internal guidelines among judicial officials. Both countries not only recognize the discretion of judges in not imposing criminal penalties, but also provide a formal framework and concrete substantive criteria, thereby preventing abuse of authority and ensuring that substantive justice is upheld.</w:t>
      </w:r>
    </w:p>
    <w:p w14:paraId="59E38C4C"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Based on the above conditions, it can be seen that the current Indonesian criminal law system does not yet provide an adequate normative basis for the legitimate and accountable implementation of judicial pardons. Although there is material recognition in the 2023 Criminal Code, gaps in procedural law and the absence of technical guidelines make judicial pardons more symbolic than operational. To ensure the legitimacy and accountability of the implementation of judicial pardons, the Indonesian government can follow the example of several countries that have implemented similar concepts in their criminal justice systems, such as the Netherlands and Germany. The first concrete steps that can be taken are: first, revising or adjusting the Criminal Procedure Code by inserting a judicial mechanism that regulates the process of applying judicial pardons; second, issuing technical guidelines by the Supreme Court to provide limits and standards for application; and third, consolidating law enforcement agencies so that its application does not cause differences in perception and procedural conflicts.</w:t>
      </w:r>
    </w:p>
    <w:p w14:paraId="7DA84E8B" w14:textId="77777777" w:rsid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As a form of reform in the national criminal justice system, judicial pardon as stipulated in Article 54 paragraph (2) of the 2023 Criminal Code shows a new direction in law enforcement that is more humane and substantively fair. However, the effectiveness of this norm is still hampered by the absence of adequate implementing regulations in criminal procedure law, especially the Criminal Procedure Code, which has not been harmonized with this new concept. The gap between substantive regulations and implementation mechanisms indicates that, at this stage, judicial pardon cannot yet be practiced in a legitimate and accountable manner by law enforcement officials.</w:t>
      </w:r>
    </w:p>
    <w:p w14:paraId="744BEF46" w14:textId="13B40ECB" w:rsidR="00903B08" w:rsidRPr="00810351" w:rsidRDefault="00903B08" w:rsidP="00810351">
      <w:pPr>
        <w:spacing w:line="276" w:lineRule="auto"/>
        <w:ind w:firstLine="720"/>
        <w:jc w:val="both"/>
        <w:rPr>
          <w:rFonts w:ascii="Palatino Linotype" w:hAnsi="Palatino Linotype"/>
          <w:b/>
          <w:bCs/>
        </w:rPr>
      </w:pPr>
      <w:r w:rsidRPr="000E055A">
        <w:rPr>
          <w:rFonts w:ascii="Palatino Linotype" w:hAnsi="Palatino Linotype"/>
        </w:rPr>
        <w:t>Through an evaluation of the normative framework and comparative studies with the Dutch and German legal systems, it is evident that the successful implementation of judicial pardons is largely determined by the certainty of formal mechanisms, judicial practice guidelines, and the readiness of judicial institutions. Therefore, regulatory intervention and implementing policies are needed to ensure that judicial pardons do not merely become a symbolic norm, but rather an operational corrective instrument in Indonesia's criminal justice system going forward.</w:t>
      </w:r>
    </w:p>
    <w:p w14:paraId="3727987A" w14:textId="77777777" w:rsidR="00903B08" w:rsidRPr="00903B08" w:rsidRDefault="00903B08" w:rsidP="00AE4139">
      <w:pPr>
        <w:spacing w:after="120"/>
        <w:jc w:val="both"/>
        <w:rPr>
          <w:rFonts w:ascii="Palatino Linotype" w:hAnsi="Palatino Linotype"/>
          <w:bCs/>
          <w:lang w:val="en-GB"/>
        </w:rPr>
      </w:pPr>
    </w:p>
    <w:p w14:paraId="18C7B240" w14:textId="77777777" w:rsidR="00810351" w:rsidRDefault="001A3D83" w:rsidP="00810351">
      <w:pPr>
        <w:spacing w:after="120"/>
        <w:jc w:val="both"/>
        <w:rPr>
          <w:rFonts w:ascii="Palatino Linotype" w:hAnsi="Palatino Linotype"/>
          <w:b/>
          <w:sz w:val="22"/>
          <w:szCs w:val="22"/>
          <w:lang w:val="en-GB"/>
        </w:rPr>
      </w:pPr>
      <w:r w:rsidRPr="001A3D83">
        <w:rPr>
          <w:rFonts w:ascii="Palatino Linotype" w:hAnsi="Palatino Linotype"/>
          <w:b/>
          <w:sz w:val="22"/>
          <w:szCs w:val="22"/>
          <w:lang w:val="en-GB"/>
        </w:rPr>
        <w:t xml:space="preserve">CONCLUSION </w:t>
      </w:r>
    </w:p>
    <w:p w14:paraId="71F1609D" w14:textId="19B03AAD" w:rsidR="001C5A48" w:rsidRPr="00810351" w:rsidRDefault="001C5A48" w:rsidP="00810351">
      <w:pPr>
        <w:spacing w:after="120"/>
        <w:ind w:firstLine="720"/>
        <w:jc w:val="both"/>
        <w:rPr>
          <w:rFonts w:ascii="Palatino Linotype" w:hAnsi="Palatino Linotype"/>
          <w:b/>
          <w:sz w:val="22"/>
          <w:szCs w:val="22"/>
          <w:lang w:val="en-GB"/>
        </w:rPr>
      </w:pPr>
      <w:r w:rsidRPr="000E055A">
        <w:rPr>
          <w:rFonts w:ascii="Palatino Linotype" w:hAnsi="Palatino Linotype"/>
        </w:rPr>
        <w:t>Judicial pardon in the 2023 Criminal Code was established as a representation of a new direction in the objectives of modern criminal punishment in Indonesia, which places criminal law not only as a tool but also as an adaptive and substantive corrective instrument. Its purpose is to provide discretion for judges in certain situations without eliminating the meaning of criminal responsibility, so that the principle of prudence is still required in its application. Normatively, the scope of judicial pardon is selectively limited to minor crimes with a maximum sentence of five years in prison, and is prioritized for vulnerable groups or in compelling circumstances, so that it does not apply absolutely to all types of crimes. The disharmony between the Criminal Code as the basis of substantive criminal law and the Criminal Procedure Code as formal law, coupled with the absence of technical guidelines from the Supreme Court or other judicial institutions, has the potential to render this norm ineffective, even turning it into a non-self-executing norm. To ensure the applicability and effectiveness of judicial pardon in criminal court practice, strategic steps are needed to harmonize the Criminal Code and the Criminal Procedure Code through revisions or additions to the norms in criminal procedure law that regulate the implementation mechanism in detail. It is also necessary to issue derivative guidelines that serve as judicial guidelines for judges and law enforcement officials in implementing the concept of judicial pardon.</w:t>
      </w:r>
    </w:p>
    <w:p w14:paraId="4434BCBD" w14:textId="518EE4EE" w:rsidR="001A3D83" w:rsidRPr="001A3D83" w:rsidRDefault="001A3D83" w:rsidP="001A3D83">
      <w:pPr>
        <w:spacing w:after="120"/>
        <w:ind w:firstLine="720"/>
        <w:jc w:val="both"/>
        <w:rPr>
          <w:rFonts w:ascii="Palatino Linotype" w:hAnsi="Palatino Linotype"/>
          <w:bCs/>
        </w:rPr>
      </w:pPr>
    </w:p>
    <w:p w14:paraId="363977C0" w14:textId="2F1F4F6E" w:rsidR="001A3D83" w:rsidRPr="001A3D83" w:rsidRDefault="001A3D83" w:rsidP="001A3D83">
      <w:pPr>
        <w:spacing w:after="120"/>
        <w:jc w:val="both"/>
        <w:rPr>
          <w:rFonts w:ascii="Palatino Linotype" w:hAnsi="Palatino Linotype"/>
          <w:b/>
          <w:lang w:val="pt-BR"/>
        </w:rPr>
      </w:pPr>
      <w:r w:rsidRPr="001A3D83">
        <w:rPr>
          <w:rFonts w:ascii="Palatino Linotype" w:hAnsi="Palatino Linotype"/>
          <w:b/>
          <w:lang w:val="pt-BR"/>
        </w:rPr>
        <w:t xml:space="preserve">ACKNOWLEDGEMENTS </w:t>
      </w:r>
    </w:p>
    <w:p w14:paraId="33074807" w14:textId="07995BFD" w:rsidR="009A3613" w:rsidRPr="001A3D83" w:rsidRDefault="00732373" w:rsidP="001A3D83">
      <w:pPr>
        <w:spacing w:after="120"/>
        <w:ind w:firstLine="720"/>
        <w:jc w:val="both"/>
        <w:rPr>
          <w:rFonts w:ascii="Palatino Linotype" w:hAnsi="Palatino Linotype"/>
          <w:bCs/>
        </w:rPr>
      </w:pPr>
      <w:r w:rsidRPr="00732373">
        <w:rPr>
          <w:rFonts w:ascii="Palatino Linotype" w:hAnsi="Palatino Linotype"/>
          <w:bCs/>
        </w:rPr>
        <w:t>Express gratitude to the parties who have contributed to the research, especially the parties or  institutions  that  funded  the  research,  including  parties  who  individually  helped  improve  the writing of the article, such as: Advisors, Funding Institutions, Proofreaders, and other parties who are considered to have contributed</w:t>
      </w:r>
    </w:p>
    <w:p w14:paraId="31034F15" w14:textId="77777777" w:rsidR="001A3D83" w:rsidRPr="00AD02B2" w:rsidRDefault="001A3D83" w:rsidP="001A3D83">
      <w:pPr>
        <w:jc w:val="both"/>
        <w:rPr>
          <w:rFonts w:ascii="Palatino Linotype" w:hAnsi="Palatino Linotype"/>
          <w:color w:val="000000"/>
        </w:rPr>
      </w:pPr>
      <w:bookmarkStart w:id="0" w:name="_Hlk80021798"/>
      <w:bookmarkStart w:id="1" w:name="_Hlk80002086"/>
    </w:p>
    <w:bookmarkEnd w:id="0"/>
    <w:bookmarkEnd w:id="1"/>
    <w:p w14:paraId="051BB39E" w14:textId="77777777" w:rsidR="001A3D83" w:rsidRPr="00AD02B2" w:rsidRDefault="001A3D83" w:rsidP="001A3D83">
      <w:pPr>
        <w:spacing w:after="60"/>
        <w:rPr>
          <w:rFonts w:ascii="Palatino Linotype" w:hAnsi="Palatino Linotype"/>
          <w:color w:val="000000"/>
          <w:sz w:val="18"/>
        </w:rPr>
      </w:pPr>
      <w:r w:rsidRPr="00AD02B2">
        <w:rPr>
          <w:rFonts w:ascii="Palatino Linotype" w:hAnsi="Palatino Linotype"/>
          <w:b/>
          <w:color w:val="000000"/>
        </w:rPr>
        <w:t>REFERENCES</w:t>
      </w:r>
    </w:p>
    <w:bookmarkStart w:id="2" w:name="_heading=h.gjdgxs" w:colFirst="0" w:colLast="0"/>
    <w:bookmarkEnd w:id="2"/>
    <w:p w14:paraId="12C65A9D" w14:textId="41A08F0F"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color w:val="000000"/>
          <w:sz w:val="16"/>
          <w:szCs w:val="16"/>
        </w:rPr>
        <w:fldChar w:fldCharType="begin" w:fldLock="1"/>
      </w:r>
      <w:r w:rsidRPr="00300150">
        <w:rPr>
          <w:rFonts w:ascii="Palatino Linotype" w:hAnsi="Palatino Linotype"/>
          <w:color w:val="000000"/>
          <w:sz w:val="16"/>
          <w:szCs w:val="16"/>
        </w:rPr>
        <w:instrText xml:space="preserve">ADDIN Mendeley Bibliography CSL_BIBLIOGRAPHY </w:instrText>
      </w:r>
      <w:r w:rsidRPr="00300150">
        <w:rPr>
          <w:rFonts w:ascii="Palatino Linotype" w:hAnsi="Palatino Linotype"/>
          <w:color w:val="000000"/>
          <w:sz w:val="16"/>
          <w:szCs w:val="16"/>
        </w:rPr>
        <w:fldChar w:fldCharType="separate"/>
      </w:r>
      <w:r w:rsidRPr="00300150">
        <w:rPr>
          <w:rFonts w:ascii="Palatino Linotype" w:hAnsi="Palatino Linotype"/>
          <w:noProof/>
          <w:sz w:val="16"/>
          <w:szCs w:val="16"/>
        </w:rPr>
        <w:t>[1]</w:t>
      </w:r>
      <w:r w:rsidRPr="00300150">
        <w:rPr>
          <w:rFonts w:ascii="Palatino Linotype" w:hAnsi="Palatino Linotype"/>
          <w:noProof/>
          <w:sz w:val="16"/>
          <w:szCs w:val="16"/>
        </w:rPr>
        <w:tab/>
      </w:r>
      <w:r w:rsidR="00B00275" w:rsidRPr="00300150">
        <w:rPr>
          <w:rFonts w:ascii="Palatino Linotype" w:hAnsi="Palatino Linotype"/>
          <w:sz w:val="16"/>
          <w:szCs w:val="16"/>
        </w:rPr>
        <w:t xml:space="preserve">Suryawan, Ridwan. 2023. “Asas Rechterlijk Pardon (Judicial Pardon) dalam Perkembangan Sistem Peradilan Pidana Indonesia” </w:t>
      </w:r>
      <w:r w:rsidR="00B00275" w:rsidRPr="00300150">
        <w:rPr>
          <w:rFonts w:ascii="Palatino Linotype" w:hAnsi="Palatino Linotype"/>
          <w:i/>
          <w:iCs/>
          <w:sz w:val="16"/>
          <w:szCs w:val="16"/>
        </w:rPr>
        <w:t>Indonesian Journal of Criminal Law and Criminology</w:t>
      </w:r>
      <w:r w:rsidR="00B00275" w:rsidRPr="00300150">
        <w:rPr>
          <w:rFonts w:ascii="Palatino Linotype" w:hAnsi="Palatino Linotype"/>
          <w:sz w:val="16"/>
          <w:szCs w:val="16"/>
        </w:rPr>
        <w:t>, Vol. 2, No. 3, 170-177</w:t>
      </w:r>
      <w:r w:rsidR="00732373" w:rsidRPr="00300150">
        <w:rPr>
          <w:rFonts w:ascii="Palatino Linotype" w:hAnsi="Palatino Linotype"/>
          <w:sz w:val="16"/>
          <w:szCs w:val="16"/>
        </w:rPr>
        <w:t>.</w:t>
      </w:r>
      <w:r w:rsidR="00732373" w:rsidRPr="00300150">
        <w:rPr>
          <w:rFonts w:ascii="Palatino Linotype" w:hAnsi="Palatino Linotype"/>
          <w:noProof/>
          <w:sz w:val="16"/>
          <w:szCs w:val="16"/>
        </w:rPr>
        <w:t xml:space="preserve"> </w:t>
      </w:r>
      <w:r w:rsidR="00104349" w:rsidRPr="00300150">
        <w:rPr>
          <w:rFonts w:ascii="Palatino Linotype" w:hAnsi="Palatino Linotype"/>
          <w:b/>
          <w:bCs/>
          <w:sz w:val="16"/>
          <w:szCs w:val="16"/>
        </w:rPr>
        <w:t>DOI:</w:t>
      </w:r>
      <w:r w:rsidR="00104349" w:rsidRPr="00300150">
        <w:rPr>
          <w:rFonts w:ascii="Palatino Linotype" w:hAnsi="Palatino Linotype"/>
          <w:sz w:val="16"/>
          <w:szCs w:val="16"/>
        </w:rPr>
        <w:t xml:space="preserve"> </w:t>
      </w:r>
      <w:hyperlink r:id="rId17" w:tgtFrame="_new" w:history="1">
        <w:r w:rsidR="00104349" w:rsidRPr="00300150">
          <w:rPr>
            <w:rStyle w:val="Hyperlink"/>
            <w:rFonts w:ascii="Palatino Linotype" w:hAnsi="Palatino Linotype"/>
            <w:sz w:val="16"/>
            <w:szCs w:val="16"/>
          </w:rPr>
          <w:t>10.18196/ijclc.v2i3.12467</w:t>
        </w:r>
      </w:hyperlink>
    </w:p>
    <w:p w14:paraId="5E8F04F0" w14:textId="7F40D51F"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[2]</w:t>
      </w:r>
      <w:r w:rsidRPr="00300150">
        <w:rPr>
          <w:rFonts w:ascii="Palatino Linotype" w:hAnsi="Palatino Linotype"/>
          <w:noProof/>
          <w:sz w:val="16"/>
          <w:szCs w:val="16"/>
        </w:rPr>
        <w:tab/>
      </w:r>
      <w:r w:rsidR="00175BFA" w:rsidRPr="00300150">
        <w:rPr>
          <w:rFonts w:ascii="Palatino Linotype" w:hAnsi="Palatino Linotype"/>
          <w:sz w:val="16"/>
          <w:szCs w:val="16"/>
        </w:rPr>
        <w:t xml:space="preserve">Sutrisno, Umar Wiyogo, Andre Irawan &amp; Aditya F.K Pradana. 2024. “Revitalisasi Judicial Pardon Dalam Pembaruan Hukum Acara Pidana di Indonesia” </w:t>
      </w:r>
      <w:r w:rsidR="00175BFA" w:rsidRPr="00300150">
        <w:rPr>
          <w:rFonts w:ascii="Palatino Linotype" w:hAnsi="Palatino Linotype"/>
          <w:i/>
          <w:iCs/>
          <w:sz w:val="16"/>
          <w:szCs w:val="16"/>
        </w:rPr>
        <w:t>Al HUKMU: Journal of Islamic Law and Economics</w:t>
      </w:r>
      <w:r w:rsidR="00175BFA" w:rsidRPr="00300150">
        <w:rPr>
          <w:rFonts w:ascii="Palatino Linotype" w:hAnsi="Palatino Linotype"/>
          <w:sz w:val="16"/>
          <w:szCs w:val="16"/>
        </w:rPr>
        <w:t>, Vol. 3, No. 2, 138-146</w:t>
      </w:r>
      <w:r w:rsidRPr="00300150">
        <w:rPr>
          <w:rFonts w:ascii="Palatino Linotype" w:hAnsi="Palatino Linotype"/>
          <w:noProof/>
          <w:sz w:val="16"/>
          <w:szCs w:val="16"/>
        </w:rPr>
        <w:t>.</w:t>
      </w:r>
      <w:r w:rsidR="00104349" w:rsidRPr="00300150">
        <w:rPr>
          <w:rFonts w:ascii="Palatino Linotype" w:hAnsi="Palatino Linotype"/>
          <w:b/>
          <w:bCs/>
          <w:sz w:val="16"/>
          <w:szCs w:val="16"/>
        </w:rPr>
        <w:t xml:space="preserve"> DOI:  </w:t>
      </w:r>
      <w:hyperlink r:id="rId18" w:history="1">
        <w:r w:rsidR="00104349" w:rsidRPr="00300150">
          <w:rPr>
            <w:rStyle w:val="Hyperlink"/>
            <w:rFonts w:ascii="Palatino Linotype" w:hAnsi="Palatino Linotype"/>
            <w:sz w:val="16"/>
            <w:szCs w:val="16"/>
          </w:rPr>
          <w:t>https://doi.org/10.54090/hukmu.560</w:t>
        </w:r>
      </w:hyperlink>
    </w:p>
    <w:p w14:paraId="2FBD451A" w14:textId="08F0CBF3"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[3]</w:t>
      </w:r>
      <w:r w:rsidRPr="00300150">
        <w:rPr>
          <w:rFonts w:ascii="Palatino Linotype" w:hAnsi="Palatino Linotype"/>
          <w:noProof/>
          <w:sz w:val="16"/>
          <w:szCs w:val="16"/>
        </w:rPr>
        <w:tab/>
      </w:r>
      <w:r w:rsidR="00175BFA" w:rsidRPr="00300150">
        <w:rPr>
          <w:rFonts w:ascii="Palatino Linotype" w:hAnsi="Palatino Linotype"/>
          <w:sz w:val="16"/>
          <w:szCs w:val="16"/>
        </w:rPr>
        <w:t>Meliala, Nefa Claudia. 2020. “</w:t>
      </w:r>
      <w:r w:rsidR="00175BFA" w:rsidRPr="00300150">
        <w:rPr>
          <w:rFonts w:ascii="Palatino Linotype" w:hAnsi="Palatino Linotype"/>
          <w:i/>
          <w:iCs/>
          <w:sz w:val="16"/>
          <w:szCs w:val="16"/>
        </w:rPr>
        <w:t>Rechterlijk Pardon</w:t>
      </w:r>
      <w:r w:rsidR="00175BFA" w:rsidRPr="00300150">
        <w:rPr>
          <w:rFonts w:ascii="Palatino Linotype" w:hAnsi="Palatino Linotype"/>
          <w:sz w:val="16"/>
          <w:szCs w:val="16"/>
        </w:rPr>
        <w:t xml:space="preserve"> (Pemaafan Hakim): Suatu Upaya Menuju Sistem Peradilan Pidana Dengan Paradigma Keadilan Restoratif” </w:t>
      </w:r>
      <w:r w:rsidR="00175BFA" w:rsidRPr="00300150">
        <w:rPr>
          <w:rFonts w:ascii="Palatino Linotype" w:hAnsi="Palatino Linotype"/>
          <w:i/>
          <w:iCs/>
          <w:sz w:val="16"/>
          <w:szCs w:val="16"/>
        </w:rPr>
        <w:t>Jurnal IUS Kajian Hukum dan Keadilan</w:t>
      </w:r>
      <w:r w:rsidR="00175BFA" w:rsidRPr="00300150">
        <w:rPr>
          <w:rFonts w:ascii="Palatino Linotype" w:hAnsi="Palatino Linotype"/>
          <w:sz w:val="16"/>
          <w:szCs w:val="16"/>
        </w:rPr>
        <w:t>, Vol.8, No. 03, 552-568</w:t>
      </w:r>
      <w:r w:rsidR="00732373" w:rsidRPr="00300150">
        <w:rPr>
          <w:rFonts w:ascii="Palatino Linotype" w:hAnsi="Palatino Linotype"/>
          <w:sz w:val="16"/>
          <w:szCs w:val="16"/>
        </w:rPr>
        <w:t>.</w:t>
      </w:r>
      <w:r w:rsidR="00104349" w:rsidRPr="00300150">
        <w:rPr>
          <w:rFonts w:ascii="Palatino Linotype" w:hAnsi="Palatino Linotype"/>
          <w:b/>
          <w:bCs/>
          <w:sz w:val="16"/>
          <w:szCs w:val="16"/>
        </w:rPr>
        <w:t xml:space="preserve"> DOI: </w:t>
      </w:r>
      <w:hyperlink r:id="rId19" w:history="1">
        <w:r w:rsidR="00104349" w:rsidRPr="00300150">
          <w:rPr>
            <w:rStyle w:val="Hyperlink"/>
            <w:rFonts w:ascii="Palatino Linotype" w:hAnsi="Palatino Linotype"/>
            <w:sz w:val="16"/>
            <w:szCs w:val="16"/>
          </w:rPr>
          <w:t>http://dx.doi.org/10.29303/ius.v8i3.820</w:t>
        </w:r>
      </w:hyperlink>
    </w:p>
    <w:p w14:paraId="2A36B8CA" w14:textId="77777777" w:rsidR="00104349"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[4]</w:t>
      </w:r>
      <w:r w:rsidRPr="00300150">
        <w:rPr>
          <w:rFonts w:ascii="Palatino Linotype" w:hAnsi="Palatino Linotype"/>
          <w:noProof/>
          <w:sz w:val="16"/>
          <w:szCs w:val="16"/>
        </w:rPr>
        <w:tab/>
      </w:r>
      <w:r w:rsidR="00175BFA" w:rsidRPr="00300150">
        <w:rPr>
          <w:rFonts w:ascii="Palatino Linotype" w:hAnsi="Palatino Linotype"/>
          <w:sz w:val="16"/>
          <w:szCs w:val="16"/>
        </w:rPr>
        <w:t xml:space="preserve">Prawira, M. Rizki Yudha. 2024. “Potensi Overkriminalisasi Pada Pengaturan Tindak Pidana Kohabitasi Dalam Kitab Undang-Undang Hukum Pidana Perspektif </w:t>
      </w:r>
      <w:r w:rsidR="00175BFA" w:rsidRPr="00300150">
        <w:rPr>
          <w:rFonts w:ascii="Palatino Linotype" w:hAnsi="Palatino Linotype"/>
          <w:i/>
          <w:iCs/>
          <w:sz w:val="16"/>
          <w:szCs w:val="16"/>
        </w:rPr>
        <w:t>Fair Trial</w:t>
      </w:r>
      <w:r w:rsidR="00175BFA" w:rsidRPr="00300150">
        <w:rPr>
          <w:rFonts w:ascii="Palatino Linotype" w:hAnsi="Palatino Linotype"/>
          <w:sz w:val="16"/>
          <w:szCs w:val="16"/>
        </w:rPr>
        <w:t xml:space="preserve">” </w:t>
      </w:r>
      <w:r w:rsidR="00175BFA" w:rsidRPr="00300150">
        <w:rPr>
          <w:rFonts w:ascii="Palatino Linotype" w:hAnsi="Palatino Linotype"/>
          <w:i/>
          <w:iCs/>
          <w:sz w:val="16"/>
          <w:szCs w:val="16"/>
        </w:rPr>
        <w:t>Jurnal Hukum Statuta</w:t>
      </w:r>
      <w:r w:rsidR="00175BFA" w:rsidRPr="00300150">
        <w:rPr>
          <w:rFonts w:ascii="Palatino Linotype" w:hAnsi="Palatino Linotype"/>
          <w:sz w:val="16"/>
          <w:szCs w:val="16"/>
        </w:rPr>
        <w:t>, Vol. 4, N0. 1, 31-49</w:t>
      </w:r>
      <w:r w:rsidR="00732373" w:rsidRPr="00300150">
        <w:rPr>
          <w:rFonts w:ascii="Palatino Linotype" w:hAnsi="Palatino Linotype"/>
          <w:sz w:val="16"/>
          <w:szCs w:val="16"/>
        </w:rPr>
        <w:t>.</w:t>
      </w:r>
      <w:r w:rsidR="00104349" w:rsidRPr="00300150">
        <w:rPr>
          <w:rFonts w:ascii="Palatino Linotype" w:hAnsi="Palatino Linotype"/>
          <w:b/>
          <w:bCs/>
          <w:sz w:val="16"/>
          <w:szCs w:val="16"/>
        </w:rPr>
        <w:t xml:space="preserve"> DOI: </w:t>
      </w:r>
      <w:hyperlink r:id="rId20" w:history="1">
        <w:r w:rsidR="00104349" w:rsidRPr="00300150">
          <w:rPr>
            <w:rStyle w:val="Hyperlink"/>
            <w:rFonts w:ascii="Palatino Linotype" w:hAnsi="Palatino Linotype"/>
            <w:sz w:val="16"/>
            <w:szCs w:val="16"/>
          </w:rPr>
          <w:t>https://doi.org/10.35586/jhs.v4i1.9530</w:t>
        </w:r>
      </w:hyperlink>
      <w:r w:rsidR="00104349" w:rsidRPr="00300150">
        <w:rPr>
          <w:rFonts w:ascii="Palatino Linotype" w:hAnsi="Palatino Linotype"/>
          <w:noProof/>
          <w:sz w:val="16"/>
          <w:szCs w:val="16"/>
        </w:rPr>
        <w:t xml:space="preserve"> </w:t>
      </w:r>
    </w:p>
    <w:p w14:paraId="0AF3FC88" w14:textId="7C946976" w:rsidR="00175BFA"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[5]</w:t>
      </w:r>
      <w:r w:rsidRPr="00300150">
        <w:rPr>
          <w:rFonts w:ascii="Palatino Linotype" w:hAnsi="Palatino Linotype"/>
          <w:noProof/>
          <w:sz w:val="16"/>
          <w:szCs w:val="16"/>
        </w:rPr>
        <w:tab/>
      </w:r>
      <w:r w:rsidR="00175BFA" w:rsidRPr="00300150">
        <w:rPr>
          <w:rFonts w:ascii="Palatino Linotype" w:hAnsi="Palatino Linotype"/>
          <w:sz w:val="16"/>
          <w:szCs w:val="16"/>
        </w:rPr>
        <w:t xml:space="preserve">Mahraen. 2023. “Judicial Pardon dalam Perkembangan Hukum Pidana Indonesia (Studi KUHP 2023)” </w:t>
      </w:r>
      <w:r w:rsidR="00175BFA" w:rsidRPr="00300150">
        <w:rPr>
          <w:rFonts w:ascii="Palatino Linotype" w:hAnsi="Palatino Linotype"/>
          <w:i/>
          <w:iCs/>
          <w:sz w:val="16"/>
          <w:szCs w:val="16"/>
        </w:rPr>
        <w:t>IURIS NOTITIA: Jurnal Ilmu Hukum</w:t>
      </w:r>
      <w:r w:rsidR="00175BFA" w:rsidRPr="00300150">
        <w:rPr>
          <w:rFonts w:ascii="Palatino Linotype" w:hAnsi="Palatino Linotype"/>
          <w:sz w:val="16"/>
          <w:szCs w:val="16"/>
        </w:rPr>
        <w:t>, Vol. 1, No.1, 1-6</w:t>
      </w:r>
      <w:r w:rsidR="00732373" w:rsidRPr="00300150">
        <w:rPr>
          <w:rFonts w:ascii="Palatino Linotype" w:hAnsi="Palatino Linotype"/>
          <w:sz w:val="16"/>
          <w:szCs w:val="16"/>
        </w:rPr>
        <w:t>.</w:t>
      </w:r>
      <w:r w:rsidR="00104349" w:rsidRPr="00300150">
        <w:rPr>
          <w:rFonts w:ascii="Palatino Linotype" w:hAnsi="Palatino Linotype"/>
          <w:b/>
          <w:bCs/>
          <w:sz w:val="16"/>
          <w:szCs w:val="16"/>
        </w:rPr>
        <w:t xml:space="preserve"> DOI:</w:t>
      </w:r>
      <w:r w:rsidR="00104349" w:rsidRPr="00300150">
        <w:rPr>
          <w:rFonts w:ascii="Palatino Linotype" w:hAnsi="Palatino Linotype"/>
          <w:sz w:val="16"/>
          <w:szCs w:val="16"/>
        </w:rPr>
        <w:t xml:space="preserve"> </w:t>
      </w:r>
      <w:hyperlink r:id="rId21" w:history="1">
        <w:r w:rsidR="00104349" w:rsidRPr="00300150">
          <w:rPr>
            <w:rStyle w:val="Hyperlink"/>
            <w:rFonts w:ascii="Palatino Linotype" w:hAnsi="Palatino Linotype"/>
            <w:sz w:val="16"/>
            <w:szCs w:val="16"/>
          </w:rPr>
          <w:t>https://doi.org/10.69916/iuris.v1i1.40</w:t>
        </w:r>
      </w:hyperlink>
    </w:p>
    <w:p w14:paraId="5D110B2A" w14:textId="2F9AB83D" w:rsidR="00175BFA"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[6]</w:t>
      </w:r>
      <w:r w:rsidRPr="00300150">
        <w:rPr>
          <w:rFonts w:ascii="Palatino Linotype" w:hAnsi="Palatino Linotype"/>
          <w:noProof/>
          <w:sz w:val="16"/>
          <w:szCs w:val="16"/>
        </w:rPr>
        <w:tab/>
      </w:r>
      <w:r w:rsidR="00175BFA" w:rsidRPr="00300150">
        <w:rPr>
          <w:rFonts w:ascii="Palatino Linotype" w:hAnsi="Palatino Linotype"/>
          <w:sz w:val="16"/>
          <w:szCs w:val="16"/>
        </w:rPr>
        <w:t xml:space="preserve">Ariyad, F., &amp; Athoillah I. 2022. “Pemaafan Hakim Dalam Hukum Pidana Indonesia: Perspektif Falsafah Pancasila” </w:t>
      </w:r>
      <w:r w:rsidR="00175BFA" w:rsidRPr="00300150">
        <w:rPr>
          <w:rFonts w:ascii="Palatino Linotype" w:hAnsi="Palatino Linotype"/>
          <w:i/>
          <w:iCs/>
          <w:sz w:val="16"/>
          <w:szCs w:val="16"/>
        </w:rPr>
        <w:t>HUNILA: Jurnal Ilmu Hukum &amp; Integrasi Peadilan</w:t>
      </w:r>
      <w:r w:rsidR="00175BFA" w:rsidRPr="00300150">
        <w:rPr>
          <w:rFonts w:ascii="Palatino Linotype" w:hAnsi="Palatino Linotype"/>
          <w:sz w:val="16"/>
          <w:szCs w:val="16"/>
        </w:rPr>
        <w:t>, Vol. 1, No.1, 18-27</w:t>
      </w:r>
      <w:r w:rsidR="00732373" w:rsidRPr="00300150">
        <w:rPr>
          <w:rFonts w:ascii="Palatino Linotype" w:hAnsi="Palatino Linotype"/>
          <w:sz w:val="16"/>
          <w:szCs w:val="16"/>
        </w:rPr>
        <w:t>.</w:t>
      </w:r>
      <w:r w:rsidR="00104349" w:rsidRPr="00300150">
        <w:rPr>
          <w:rFonts w:ascii="Palatino Linotype" w:hAnsi="Palatino Linotype"/>
          <w:b/>
          <w:bCs/>
          <w:sz w:val="16"/>
          <w:szCs w:val="16"/>
        </w:rPr>
        <w:t xml:space="preserve"> DOI: </w:t>
      </w:r>
      <w:hyperlink r:id="rId22" w:history="1">
        <w:r w:rsidR="00104349" w:rsidRPr="00300150">
          <w:rPr>
            <w:rStyle w:val="Hyperlink"/>
            <w:rFonts w:ascii="Palatino Linotype" w:hAnsi="Palatino Linotype"/>
            <w:sz w:val="16"/>
            <w:szCs w:val="16"/>
          </w:rPr>
          <w:t>https://doi.org/10.53491/hunila.v1i1.308</w:t>
        </w:r>
      </w:hyperlink>
    </w:p>
    <w:p w14:paraId="13A051C9" w14:textId="11BA48CD"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[7]</w:t>
      </w:r>
      <w:r w:rsidRPr="00300150">
        <w:rPr>
          <w:rFonts w:ascii="Palatino Linotype" w:hAnsi="Palatino Linotype"/>
          <w:noProof/>
          <w:sz w:val="16"/>
          <w:szCs w:val="16"/>
        </w:rPr>
        <w:tab/>
      </w:r>
      <w:r w:rsidR="008B09C7" w:rsidRPr="00300150">
        <w:rPr>
          <w:rFonts w:ascii="Palatino Linotype" w:hAnsi="Palatino Linotype"/>
          <w:sz w:val="16"/>
          <w:szCs w:val="16"/>
        </w:rPr>
        <w:t xml:space="preserve">Diantha, I Made Pasek. 2016. </w:t>
      </w:r>
      <w:r w:rsidR="008B09C7" w:rsidRPr="00300150">
        <w:rPr>
          <w:rFonts w:ascii="Palatino Linotype" w:hAnsi="Palatino Linotype"/>
          <w:i/>
          <w:iCs/>
          <w:sz w:val="16"/>
          <w:szCs w:val="16"/>
        </w:rPr>
        <w:t>Metodologi Penelitian Hukum Normatif Dalam Justifikasi Teori Hukum</w:t>
      </w:r>
      <w:r w:rsidR="008B09C7" w:rsidRPr="00300150">
        <w:rPr>
          <w:rFonts w:ascii="Palatino Linotype" w:hAnsi="Palatino Linotype"/>
          <w:sz w:val="16"/>
          <w:szCs w:val="16"/>
        </w:rPr>
        <w:t>. Bandung:Prenada Media Group. (12)</w:t>
      </w:r>
    </w:p>
    <w:p w14:paraId="086E4365" w14:textId="1FA2C858"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[8]</w:t>
      </w:r>
      <w:r w:rsidRPr="00300150">
        <w:rPr>
          <w:rFonts w:ascii="Palatino Linotype" w:hAnsi="Palatino Linotype"/>
          <w:noProof/>
          <w:sz w:val="16"/>
          <w:szCs w:val="16"/>
        </w:rPr>
        <w:tab/>
      </w:r>
      <w:r w:rsidR="008B09C7" w:rsidRPr="00300150">
        <w:rPr>
          <w:rFonts w:ascii="Palatino Linotype" w:hAnsi="Palatino Linotype"/>
          <w:sz w:val="16"/>
          <w:szCs w:val="16"/>
        </w:rPr>
        <w:t>Muhaimin. 2020. Metode Penelitian Hukum, Cet. I. Mataram: Mataram University Press. (90).</w:t>
      </w:r>
    </w:p>
    <w:p w14:paraId="21956A40" w14:textId="5859A287" w:rsidR="00CD1236" w:rsidRPr="00300150" w:rsidRDefault="001A3D83" w:rsidP="00CD1236">
      <w:pPr>
        <w:widowControl w:val="0"/>
        <w:autoSpaceDE w:val="0"/>
        <w:autoSpaceDN w:val="0"/>
        <w:adjustRightInd w:val="0"/>
        <w:ind w:left="426" w:hanging="426"/>
        <w:jc w:val="both"/>
        <w:rPr>
          <w:rFonts w:ascii="Palatino Linotype" w:hAnsi="Palatino Linotype"/>
          <w:color w:val="2E74B5" w:themeColor="accent5" w:themeShade="BF"/>
          <w:sz w:val="16"/>
          <w:szCs w:val="16"/>
          <w:u w:val="single"/>
        </w:rPr>
      </w:pPr>
      <w:r w:rsidRPr="00300150">
        <w:rPr>
          <w:rFonts w:ascii="Palatino Linotype" w:hAnsi="Palatino Linotype"/>
          <w:noProof/>
          <w:sz w:val="16"/>
          <w:szCs w:val="16"/>
        </w:rPr>
        <w:t>[9]</w:t>
      </w:r>
      <w:r w:rsidRPr="00300150">
        <w:rPr>
          <w:rFonts w:ascii="Palatino Linotype" w:hAnsi="Palatino Linotype"/>
          <w:noProof/>
          <w:sz w:val="16"/>
          <w:szCs w:val="16"/>
        </w:rPr>
        <w:tab/>
      </w:r>
      <w:r w:rsidR="00E319AF" w:rsidRPr="00300150">
        <w:rPr>
          <w:rFonts w:ascii="Palatino Linotype" w:hAnsi="Palatino Linotype"/>
          <w:sz w:val="16"/>
          <w:szCs w:val="16"/>
        </w:rPr>
        <w:t xml:space="preserve">Purwani, Sagung Putri ME., &amp; Putu Mery Lusyana Dewi. 2021. “Judicial Pardon: Renewal of Criminal Law Towards Minor Criminal Offense” </w:t>
      </w:r>
      <w:r w:rsidR="00E319AF" w:rsidRPr="00300150">
        <w:rPr>
          <w:rFonts w:ascii="Palatino Linotype" w:hAnsi="Palatino Linotype"/>
          <w:i/>
          <w:iCs/>
          <w:sz w:val="16"/>
          <w:szCs w:val="16"/>
        </w:rPr>
        <w:t>Yustitia Jurnal Hukum</w:t>
      </w:r>
      <w:r w:rsidR="00E319AF" w:rsidRPr="00300150">
        <w:rPr>
          <w:rFonts w:ascii="Palatino Linotype" w:hAnsi="Palatino Linotype"/>
          <w:sz w:val="16"/>
          <w:szCs w:val="16"/>
        </w:rPr>
        <w:t>, Vol. 10, No. 3, 415-430</w:t>
      </w:r>
      <w:bookmarkStart w:id="3" w:name="_Hlk212055894"/>
      <w:r w:rsidR="0028039F" w:rsidRPr="00300150">
        <w:rPr>
          <w:rFonts w:ascii="Palatino Linotype" w:hAnsi="Palatino Linotype"/>
          <w:sz w:val="16"/>
          <w:szCs w:val="16"/>
        </w:rPr>
        <w:t>.</w:t>
      </w:r>
      <w:r w:rsidR="00104349" w:rsidRPr="00300150">
        <w:rPr>
          <w:rFonts w:ascii="Palatino Linotype" w:hAnsi="Palatino Linotype"/>
          <w:b/>
          <w:bCs/>
          <w:sz w:val="16"/>
          <w:szCs w:val="16"/>
        </w:rPr>
        <w:t xml:space="preserve"> DOI: </w:t>
      </w:r>
      <w:r w:rsidR="00104349" w:rsidRPr="00300150">
        <w:rPr>
          <w:rFonts w:ascii="Palatino Linotype" w:hAnsi="Palatino Linotype"/>
          <w:color w:val="2E74B5" w:themeColor="accent5" w:themeShade="BF"/>
          <w:sz w:val="16"/>
          <w:szCs w:val="16"/>
          <w:u w:val="single"/>
        </w:rPr>
        <w:t>10.20961/yustisia.v10i3.55347</w:t>
      </w:r>
    </w:p>
    <w:p w14:paraId="1A53ACE8" w14:textId="19910C14" w:rsidR="001A3D83" w:rsidRPr="00300150" w:rsidRDefault="00CD1236" w:rsidP="00CD1236">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sz w:val="16"/>
          <w:szCs w:val="16"/>
        </w:rPr>
        <w:t xml:space="preserve">[10] </w:t>
      </w:r>
      <w:r w:rsidR="00E319AF" w:rsidRPr="00300150">
        <w:rPr>
          <w:rFonts w:ascii="Palatino Linotype" w:hAnsi="Palatino Linotype"/>
          <w:noProof/>
          <w:sz w:val="16"/>
          <w:szCs w:val="16"/>
        </w:rPr>
        <w:t xml:space="preserve"> </w:t>
      </w:r>
      <w:r w:rsidR="00E319AF" w:rsidRPr="00300150">
        <w:rPr>
          <w:rFonts w:ascii="Palatino Linotype" w:hAnsi="Palatino Linotype"/>
          <w:sz w:val="16"/>
          <w:szCs w:val="16"/>
        </w:rPr>
        <w:t xml:space="preserve">Gunaryo, Achmad. 2017. “Beberapa Catatan Tentang Konsep Hukum H.L.A Hart dalam Buku </w:t>
      </w:r>
      <w:r w:rsidR="00E319AF" w:rsidRPr="00300150">
        <w:rPr>
          <w:rFonts w:ascii="Palatino Linotype" w:hAnsi="Palatino Linotype"/>
          <w:i/>
          <w:iCs/>
          <w:sz w:val="16"/>
          <w:szCs w:val="16"/>
        </w:rPr>
        <w:t>The Concept of Law”</w:t>
      </w:r>
      <w:r w:rsidR="00E319AF" w:rsidRPr="00300150">
        <w:rPr>
          <w:rFonts w:ascii="Palatino Linotype" w:hAnsi="Palatino Linotype"/>
          <w:sz w:val="16"/>
          <w:szCs w:val="16"/>
        </w:rPr>
        <w:t xml:space="preserve"> </w:t>
      </w:r>
      <w:r w:rsidR="00E319AF" w:rsidRPr="00300150">
        <w:rPr>
          <w:rFonts w:ascii="Palatino Linotype" w:hAnsi="Palatino Linotype"/>
          <w:i/>
          <w:iCs/>
          <w:sz w:val="16"/>
          <w:szCs w:val="16"/>
        </w:rPr>
        <w:t>Jurnal Hukum Progresif</w:t>
      </w:r>
      <w:r w:rsidR="00E319AF" w:rsidRPr="00300150">
        <w:rPr>
          <w:rFonts w:ascii="Palatino Linotype" w:hAnsi="Palatino Linotype"/>
          <w:sz w:val="16"/>
          <w:szCs w:val="16"/>
        </w:rPr>
        <w:t>, Vol. 3, No. 1, 69-80</w:t>
      </w:r>
      <w:bookmarkEnd w:id="3"/>
      <w:r w:rsidR="0028039F" w:rsidRPr="00300150">
        <w:rPr>
          <w:rFonts w:ascii="Palatino Linotype" w:hAnsi="Palatino Linotype"/>
          <w:sz w:val="16"/>
          <w:szCs w:val="16"/>
        </w:rPr>
        <w:t>.</w:t>
      </w:r>
      <w:r w:rsidR="00104349" w:rsidRPr="00300150">
        <w:rPr>
          <w:rFonts w:ascii="Palatino Linotype" w:hAnsi="Palatino Linotype"/>
          <w:b/>
          <w:bCs/>
          <w:sz w:val="16"/>
          <w:szCs w:val="16"/>
        </w:rPr>
        <w:t xml:space="preserve"> DOI:</w:t>
      </w:r>
      <w:r w:rsidR="00104349" w:rsidRPr="00300150">
        <w:rPr>
          <w:rFonts w:ascii="Palatino Linotype" w:hAnsi="Palatino Linotype"/>
          <w:sz w:val="16"/>
          <w:szCs w:val="16"/>
        </w:rPr>
        <w:t xml:space="preserve"> </w:t>
      </w:r>
      <w:hyperlink r:id="rId23" w:tgtFrame="_new" w:history="1">
        <w:r w:rsidR="00104349" w:rsidRPr="00300150">
          <w:rPr>
            <w:rStyle w:val="Hyperlink"/>
            <w:rFonts w:ascii="Palatino Linotype" w:hAnsi="Palatino Linotype"/>
            <w:sz w:val="16"/>
            <w:szCs w:val="16"/>
          </w:rPr>
          <w:t>10.14710/hp.3.1.69</w:t>
        </w:r>
      </w:hyperlink>
    </w:p>
    <w:p w14:paraId="2316E8EB" w14:textId="0C21AE11" w:rsidR="00E319AF"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[11]</w:t>
      </w:r>
      <w:r w:rsidRPr="00300150">
        <w:rPr>
          <w:rFonts w:ascii="Palatino Linotype" w:hAnsi="Palatino Linotype"/>
          <w:noProof/>
          <w:sz w:val="16"/>
          <w:szCs w:val="16"/>
        </w:rPr>
        <w:tab/>
      </w:r>
      <w:r w:rsidR="00E319AF" w:rsidRPr="00300150">
        <w:rPr>
          <w:rFonts w:ascii="Palatino Linotype" w:hAnsi="Palatino Linotype"/>
          <w:sz w:val="16"/>
          <w:szCs w:val="16"/>
        </w:rPr>
        <w:t xml:space="preserve">Jayusman, Dandi., Dita Gusnawati., &amp; Muhammad Fathi. 2024. “Judicial Pardon: Antara Abuse of Pardon Power dan Pembaharuan Hukum Pidana” </w:t>
      </w:r>
      <w:r w:rsidR="00E319AF" w:rsidRPr="00300150">
        <w:rPr>
          <w:rFonts w:ascii="Palatino Linotype" w:hAnsi="Palatino Linotype"/>
          <w:i/>
          <w:iCs/>
          <w:sz w:val="16"/>
          <w:szCs w:val="16"/>
        </w:rPr>
        <w:t>Jurnal Et Pax</w:t>
      </w:r>
      <w:r w:rsidR="00E319AF" w:rsidRPr="00300150">
        <w:rPr>
          <w:rFonts w:ascii="Palatino Linotype" w:hAnsi="Palatino Linotype"/>
          <w:sz w:val="16"/>
          <w:szCs w:val="16"/>
        </w:rPr>
        <w:t>, Vol.  40, No. 2, 332-361</w:t>
      </w:r>
      <w:r w:rsidR="0028039F" w:rsidRPr="00300150">
        <w:rPr>
          <w:rFonts w:ascii="Palatino Linotype" w:hAnsi="Palatino Linotype"/>
          <w:sz w:val="16"/>
          <w:szCs w:val="16"/>
        </w:rPr>
        <w:t>.</w:t>
      </w:r>
      <w:bookmarkStart w:id="4" w:name="_Hlk212058546"/>
      <w:r w:rsidR="00104349" w:rsidRPr="00300150">
        <w:rPr>
          <w:rFonts w:ascii="Palatino Linotype" w:hAnsi="Palatino Linotype"/>
          <w:b/>
          <w:bCs/>
          <w:sz w:val="16"/>
          <w:szCs w:val="16"/>
        </w:rPr>
        <w:t xml:space="preserve"> DOI:  </w:t>
      </w:r>
      <w:hyperlink r:id="rId24" w:history="1">
        <w:r w:rsidR="00104349" w:rsidRPr="00300150">
          <w:rPr>
            <w:rStyle w:val="Hyperlink"/>
            <w:rFonts w:ascii="Palatino Linotype" w:hAnsi="Palatino Linotype"/>
            <w:sz w:val="16"/>
            <w:szCs w:val="16"/>
          </w:rPr>
          <w:t>https://doi.org/10.24002/jep.v40i2.8574</w:t>
        </w:r>
      </w:hyperlink>
      <w:bookmarkEnd w:id="4"/>
    </w:p>
    <w:p w14:paraId="4DEDFD92" w14:textId="4209317D"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[12]</w:t>
      </w:r>
      <w:r w:rsidRPr="00300150">
        <w:rPr>
          <w:rFonts w:ascii="Palatino Linotype" w:hAnsi="Palatino Linotype"/>
          <w:noProof/>
          <w:sz w:val="16"/>
          <w:szCs w:val="16"/>
        </w:rPr>
        <w:tab/>
      </w:r>
      <w:r w:rsidR="00CD1236" w:rsidRPr="00300150">
        <w:rPr>
          <w:rFonts w:ascii="Palatino Linotype" w:hAnsi="Palatino Linotype"/>
          <w:sz w:val="16"/>
          <w:szCs w:val="16"/>
        </w:rPr>
        <w:t xml:space="preserve">Farikhah, Mufatikhatul. 2018. “Rekonseptualisasi Judicial Pardon dalam Sistem Hukum Indonesia (Studi Perbandingan Sistem Hukum Indonesia dengan Sistem Hukum Barat” </w:t>
      </w:r>
      <w:r w:rsidR="00CD1236" w:rsidRPr="00300150">
        <w:rPr>
          <w:rFonts w:ascii="Palatino Linotype" w:hAnsi="Palatino Linotype"/>
          <w:i/>
          <w:iCs/>
          <w:sz w:val="16"/>
          <w:szCs w:val="16"/>
        </w:rPr>
        <w:t>Jurnal Hukum dan Pembangunan</w:t>
      </w:r>
      <w:r w:rsidR="00CD1236" w:rsidRPr="00300150">
        <w:rPr>
          <w:rFonts w:ascii="Palatino Linotype" w:hAnsi="Palatino Linotype"/>
          <w:sz w:val="16"/>
          <w:szCs w:val="16"/>
        </w:rPr>
        <w:t>, Vol.48, No. 3</w:t>
      </w:r>
      <w:r w:rsidR="0028039F" w:rsidRPr="00300150">
        <w:rPr>
          <w:rFonts w:ascii="Palatino Linotype" w:hAnsi="Palatino Linotype"/>
          <w:sz w:val="16"/>
          <w:szCs w:val="16"/>
        </w:rPr>
        <w:t>.</w:t>
      </w:r>
      <w:r w:rsidR="00104349" w:rsidRPr="00300150">
        <w:rPr>
          <w:rFonts w:ascii="Palatino Linotype" w:hAnsi="Palatino Linotype"/>
          <w:b/>
          <w:bCs/>
          <w:sz w:val="16"/>
          <w:szCs w:val="16"/>
        </w:rPr>
        <w:t xml:space="preserve"> DOI</w:t>
      </w:r>
      <w:r w:rsidR="00104349" w:rsidRPr="00300150">
        <w:rPr>
          <w:rFonts w:ascii="Palatino Linotype" w:hAnsi="Palatino Linotype"/>
          <w:sz w:val="16"/>
          <w:szCs w:val="16"/>
        </w:rPr>
        <w:t xml:space="preserve">: </w:t>
      </w:r>
      <w:r w:rsidR="00104349" w:rsidRPr="00300150">
        <w:rPr>
          <w:rFonts w:ascii="Palatino Linotype" w:hAnsi="Palatino Linotype"/>
          <w:color w:val="2E74B5" w:themeColor="accent5" w:themeShade="BF"/>
          <w:sz w:val="16"/>
          <w:szCs w:val="16"/>
          <w:u w:val="single"/>
        </w:rPr>
        <w:t>10.21143/jhp.vol48.no3.1746</w:t>
      </w:r>
    </w:p>
    <w:p w14:paraId="3E2598B7" w14:textId="00EA1DB1" w:rsidR="001A3D83" w:rsidRPr="00300150" w:rsidRDefault="001A3D83" w:rsidP="001A3D83">
      <w:pPr>
        <w:widowControl w:val="0"/>
        <w:autoSpaceDE w:val="0"/>
        <w:autoSpaceDN w:val="0"/>
        <w:adjustRightInd w:val="0"/>
        <w:ind w:left="426" w:hanging="426"/>
        <w:jc w:val="both"/>
        <w:rPr>
          <w:rFonts w:ascii="Palatino Linotype" w:hAnsi="Palatino Linotype"/>
          <w:noProof/>
          <w:spacing w:val="-2"/>
          <w:sz w:val="16"/>
          <w:szCs w:val="16"/>
        </w:rPr>
      </w:pPr>
      <w:r w:rsidRPr="00300150">
        <w:rPr>
          <w:rFonts w:ascii="Palatino Linotype" w:hAnsi="Palatino Linotype"/>
          <w:noProof/>
          <w:sz w:val="16"/>
          <w:szCs w:val="16"/>
        </w:rPr>
        <w:t>[13]</w:t>
      </w:r>
      <w:r w:rsidRPr="00300150">
        <w:rPr>
          <w:rFonts w:ascii="Palatino Linotype" w:hAnsi="Palatino Linotype"/>
          <w:noProof/>
          <w:sz w:val="16"/>
          <w:szCs w:val="16"/>
        </w:rPr>
        <w:tab/>
      </w:r>
      <w:r w:rsidR="00CD1236" w:rsidRPr="00300150">
        <w:rPr>
          <w:rFonts w:ascii="Palatino Linotype" w:hAnsi="Palatino Linotype"/>
          <w:sz w:val="16"/>
          <w:szCs w:val="16"/>
        </w:rPr>
        <w:t xml:space="preserve">Kai, M.I.P., Ismail D.E., &amp; Imran, S.Y. 2024. “Asas Pemaafan Hakim dalam Pembaharuan Hukum Pidana di Indonesia” </w:t>
      </w:r>
      <w:r w:rsidR="00CD1236" w:rsidRPr="00300150">
        <w:rPr>
          <w:rFonts w:ascii="Palatino Linotype" w:hAnsi="Palatino Linotype"/>
          <w:i/>
          <w:iCs/>
          <w:sz w:val="16"/>
          <w:szCs w:val="16"/>
        </w:rPr>
        <w:t>Doktrin: Jurnal Dunia Ilmu Hukum &amp; Politik</w:t>
      </w:r>
      <w:r w:rsidR="00CD1236" w:rsidRPr="00300150">
        <w:rPr>
          <w:rFonts w:ascii="Palatino Linotype" w:hAnsi="Palatino Linotype"/>
          <w:sz w:val="16"/>
          <w:szCs w:val="16"/>
        </w:rPr>
        <w:t>, Vol. 2, No. 1, 162-174</w:t>
      </w:r>
      <w:r w:rsidRPr="00300150">
        <w:rPr>
          <w:rFonts w:ascii="Palatino Linotype" w:hAnsi="Palatino Linotype"/>
          <w:noProof/>
          <w:spacing w:val="-2"/>
          <w:sz w:val="16"/>
          <w:szCs w:val="16"/>
        </w:rPr>
        <w:t>.</w:t>
      </w:r>
      <w:r w:rsidR="00104349" w:rsidRPr="00300150">
        <w:rPr>
          <w:rFonts w:ascii="Palatino Linotype" w:hAnsi="Palatino Linotype"/>
          <w:b/>
          <w:bCs/>
          <w:sz w:val="16"/>
          <w:szCs w:val="16"/>
        </w:rPr>
        <w:t xml:space="preserve"> DOI: </w:t>
      </w:r>
      <w:hyperlink r:id="rId25" w:history="1">
        <w:r w:rsidR="00104349" w:rsidRPr="00300150">
          <w:rPr>
            <w:rStyle w:val="Hyperlink"/>
            <w:rFonts w:ascii="Palatino Linotype" w:hAnsi="Palatino Linotype"/>
            <w:sz w:val="16"/>
            <w:szCs w:val="16"/>
          </w:rPr>
          <w:t>https://doi.org/10.59581/Doktrin-widyakarya.v2i1.1936</w:t>
        </w:r>
      </w:hyperlink>
    </w:p>
    <w:p w14:paraId="436073AE" w14:textId="4EA57ECF"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[14]</w:t>
      </w:r>
      <w:r w:rsidRPr="00300150">
        <w:rPr>
          <w:rFonts w:ascii="Palatino Linotype" w:hAnsi="Palatino Linotype"/>
          <w:noProof/>
          <w:sz w:val="16"/>
          <w:szCs w:val="16"/>
        </w:rPr>
        <w:tab/>
      </w:r>
      <w:r w:rsidR="00CD1236" w:rsidRPr="00300150">
        <w:rPr>
          <w:rFonts w:ascii="Palatino Linotype" w:hAnsi="Palatino Linotype"/>
          <w:sz w:val="16"/>
          <w:szCs w:val="16"/>
        </w:rPr>
        <w:t xml:space="preserve">Aries A. 2022.”Judicial Pardon as Perfection of the Implementation of Legality Principle in Sentencing” </w:t>
      </w:r>
      <w:r w:rsidR="00CD1236" w:rsidRPr="00300150">
        <w:rPr>
          <w:rFonts w:ascii="Palatino Linotype" w:hAnsi="Palatino Linotype"/>
          <w:i/>
          <w:iCs/>
          <w:sz w:val="16"/>
          <w:szCs w:val="16"/>
        </w:rPr>
        <w:t>Internasional Journal of Research in Bussiness and Social Science</w:t>
      </w:r>
      <w:r w:rsidR="00CD1236" w:rsidRPr="00300150">
        <w:rPr>
          <w:rFonts w:ascii="Palatino Linotype" w:hAnsi="Palatino Linotype"/>
          <w:sz w:val="16"/>
          <w:szCs w:val="16"/>
        </w:rPr>
        <w:t>, Vol. 11, No. 1, 351-35</w:t>
      </w:r>
      <w:r w:rsidR="0028039F" w:rsidRPr="00300150">
        <w:rPr>
          <w:rFonts w:ascii="Palatino Linotype" w:hAnsi="Palatino Linotype"/>
          <w:sz w:val="16"/>
          <w:szCs w:val="16"/>
        </w:rPr>
        <w:t>7</w:t>
      </w:r>
      <w:r w:rsidRPr="00300150">
        <w:rPr>
          <w:rFonts w:ascii="Palatino Linotype" w:hAnsi="Palatino Linotype"/>
          <w:noProof/>
          <w:sz w:val="16"/>
          <w:szCs w:val="16"/>
        </w:rPr>
        <w:t>.</w:t>
      </w:r>
      <w:r w:rsidR="00104349" w:rsidRPr="00300150">
        <w:rPr>
          <w:rFonts w:ascii="Palatino Linotype" w:hAnsi="Palatino Linotype"/>
          <w:b/>
          <w:bCs/>
          <w:sz w:val="16"/>
          <w:szCs w:val="16"/>
        </w:rPr>
        <w:t xml:space="preserve"> DOI: </w:t>
      </w:r>
      <w:hyperlink r:id="rId26" w:history="1">
        <w:r w:rsidR="00104349" w:rsidRPr="00300150">
          <w:rPr>
            <w:rStyle w:val="Hyperlink"/>
            <w:rFonts w:ascii="Palatino Linotype" w:hAnsi="Palatino Linotype"/>
            <w:sz w:val="16"/>
            <w:szCs w:val="16"/>
          </w:rPr>
          <w:t>https://doi.org/10.20525/ijrbs.v11i1.1670</w:t>
        </w:r>
      </w:hyperlink>
    </w:p>
    <w:p w14:paraId="6642B3D3" w14:textId="0AD450CB"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[15]</w:t>
      </w:r>
      <w:r w:rsidRPr="00300150">
        <w:rPr>
          <w:rFonts w:ascii="Palatino Linotype" w:hAnsi="Palatino Linotype"/>
          <w:noProof/>
          <w:sz w:val="16"/>
          <w:szCs w:val="16"/>
        </w:rPr>
        <w:tab/>
      </w:r>
      <w:r w:rsidR="00CD1236" w:rsidRPr="00300150">
        <w:rPr>
          <w:rFonts w:ascii="Palatino Linotype" w:hAnsi="Palatino Linotype"/>
          <w:sz w:val="16"/>
          <w:szCs w:val="16"/>
        </w:rPr>
        <w:t xml:space="preserve">Hakim, L. 2019. “Penerapan Konsep “Pemaafan Hakim” Sebagai Alternatif Dalam Menurunkan Tingkat Kriminalitas di Indonesia” </w:t>
      </w:r>
      <w:r w:rsidR="00CD1236" w:rsidRPr="00300150">
        <w:rPr>
          <w:rFonts w:ascii="Palatino Linotype" w:hAnsi="Palatino Linotype"/>
          <w:i/>
          <w:iCs/>
          <w:sz w:val="16"/>
          <w:szCs w:val="16"/>
        </w:rPr>
        <w:t>Jurnal Keamanan Nasional</w:t>
      </w:r>
      <w:r w:rsidR="00CD1236" w:rsidRPr="00300150">
        <w:rPr>
          <w:rFonts w:ascii="Palatino Linotype" w:hAnsi="Palatino Linotype"/>
          <w:sz w:val="16"/>
          <w:szCs w:val="16"/>
        </w:rPr>
        <w:t>, Vol. 5, No. 2, 185-195</w:t>
      </w:r>
      <w:r w:rsidR="0028039F" w:rsidRPr="00300150">
        <w:rPr>
          <w:rFonts w:ascii="Palatino Linotype" w:hAnsi="Palatino Linotype"/>
          <w:sz w:val="16"/>
          <w:szCs w:val="16"/>
        </w:rPr>
        <w:t>.</w:t>
      </w:r>
      <w:r w:rsidR="00291E33" w:rsidRPr="00300150">
        <w:rPr>
          <w:rFonts w:ascii="Palatino Linotype" w:hAnsi="Palatino Linotype"/>
          <w:b/>
          <w:bCs/>
          <w:sz w:val="16"/>
          <w:szCs w:val="16"/>
        </w:rPr>
        <w:t xml:space="preserve"> DOI: </w:t>
      </w:r>
      <w:hyperlink r:id="rId27" w:history="1">
        <w:r w:rsidR="00291E33" w:rsidRPr="00300150">
          <w:rPr>
            <w:rStyle w:val="Hyperlink"/>
            <w:rFonts w:ascii="Palatino Linotype" w:hAnsi="Palatino Linotype"/>
            <w:sz w:val="16"/>
            <w:szCs w:val="16"/>
          </w:rPr>
          <w:t>https://doi.org/10.31599/jkn.v5i2.435</w:t>
        </w:r>
      </w:hyperlink>
    </w:p>
    <w:p w14:paraId="27F988C9" w14:textId="79923266"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[16]</w:t>
      </w:r>
      <w:r w:rsidRPr="00300150">
        <w:rPr>
          <w:rFonts w:ascii="Palatino Linotype" w:hAnsi="Palatino Linotype"/>
          <w:noProof/>
          <w:sz w:val="16"/>
          <w:szCs w:val="16"/>
        </w:rPr>
        <w:tab/>
      </w:r>
      <w:r w:rsidR="00CD1236" w:rsidRPr="00300150">
        <w:rPr>
          <w:rFonts w:ascii="Palatino Linotype" w:hAnsi="Palatino Linotype"/>
          <w:sz w:val="16"/>
          <w:szCs w:val="16"/>
        </w:rPr>
        <w:t xml:space="preserve">A.Barlian,  A.  E.,  &amp;  Arief,  B.  N.  2017.  “Formulasi  Ide  Permaafan  Hakim  (Rechterlijk Pardon) Dalam Pembaharuan Sistem Pemidanaan di Indonesia.” </w:t>
      </w:r>
      <w:r w:rsidR="00CD1236" w:rsidRPr="00300150">
        <w:rPr>
          <w:rFonts w:ascii="Palatino Linotype" w:hAnsi="Palatino Linotype"/>
          <w:i/>
          <w:iCs/>
          <w:sz w:val="16"/>
          <w:szCs w:val="16"/>
        </w:rPr>
        <w:t>Law Reform</w:t>
      </w:r>
      <w:r w:rsidR="00CD1236" w:rsidRPr="00300150">
        <w:rPr>
          <w:rFonts w:ascii="Palatino Linotype" w:hAnsi="Palatino Linotype"/>
          <w:sz w:val="16"/>
          <w:szCs w:val="16"/>
        </w:rPr>
        <w:t>, Vol, 13, No. 1, 28.</w:t>
      </w:r>
      <w:r w:rsidR="00291E33" w:rsidRPr="00300150">
        <w:rPr>
          <w:rFonts w:ascii="Palatino Linotype" w:hAnsi="Palatino Linotype"/>
          <w:b/>
          <w:bCs/>
          <w:sz w:val="16"/>
          <w:szCs w:val="16"/>
        </w:rPr>
        <w:t xml:space="preserve"> DOI: </w:t>
      </w:r>
      <w:hyperlink r:id="rId28" w:history="1">
        <w:r w:rsidR="00291E33" w:rsidRPr="00300150">
          <w:rPr>
            <w:rStyle w:val="Hyperlink"/>
            <w:rFonts w:ascii="Palatino Linotype" w:hAnsi="Palatino Linotype"/>
            <w:sz w:val="16"/>
            <w:szCs w:val="16"/>
          </w:rPr>
          <w:t>https://doi.org/10.14710/lr.v13i1.15949</w:t>
        </w:r>
      </w:hyperlink>
    </w:p>
    <w:p w14:paraId="2B014669" w14:textId="725BB745"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[17]</w:t>
      </w:r>
      <w:r w:rsidRPr="00300150">
        <w:rPr>
          <w:rFonts w:ascii="Palatino Linotype" w:hAnsi="Palatino Linotype"/>
          <w:noProof/>
          <w:sz w:val="16"/>
          <w:szCs w:val="16"/>
        </w:rPr>
        <w:tab/>
      </w:r>
      <w:r w:rsidR="008A20EC" w:rsidRPr="00300150">
        <w:rPr>
          <w:rFonts w:ascii="Palatino Linotype" w:hAnsi="Palatino Linotype"/>
          <w:sz w:val="16"/>
          <w:szCs w:val="16"/>
        </w:rPr>
        <w:t xml:space="preserve">Langvatn, Silje A. 2016. “Legitimate, but Unjust: Just, but Illegitimate: Rawls on Political Legitimacy” </w:t>
      </w:r>
      <w:r w:rsidR="008A20EC" w:rsidRPr="00300150">
        <w:rPr>
          <w:rFonts w:ascii="Palatino Linotype" w:hAnsi="Palatino Linotype"/>
          <w:i/>
          <w:iCs/>
          <w:sz w:val="16"/>
          <w:szCs w:val="16"/>
        </w:rPr>
        <w:t>Philosophy &amp; Social Criticism</w:t>
      </w:r>
      <w:r w:rsidR="008A20EC" w:rsidRPr="00300150">
        <w:rPr>
          <w:rFonts w:ascii="Palatino Linotype" w:hAnsi="Palatino Linotype"/>
          <w:sz w:val="16"/>
          <w:szCs w:val="16"/>
        </w:rPr>
        <w:t>, Vol. 42, No. 6, 535-558</w:t>
      </w:r>
      <w:r w:rsidR="0028039F" w:rsidRPr="00300150">
        <w:rPr>
          <w:rFonts w:ascii="Palatino Linotype" w:hAnsi="Palatino Linotype"/>
          <w:sz w:val="16"/>
          <w:szCs w:val="16"/>
        </w:rPr>
        <w:t>.</w:t>
      </w:r>
      <w:r w:rsidR="00291E33" w:rsidRPr="00300150">
        <w:rPr>
          <w:rFonts w:ascii="Palatino Linotype" w:hAnsi="Palatino Linotype"/>
          <w:b/>
          <w:bCs/>
          <w:sz w:val="16"/>
          <w:szCs w:val="16"/>
        </w:rPr>
        <w:t xml:space="preserve"> DOI:</w:t>
      </w:r>
      <w:r w:rsidR="00291E33" w:rsidRPr="00300150">
        <w:rPr>
          <w:rFonts w:ascii="Palatino Linotype" w:hAnsi="Palatino Linotype"/>
          <w:sz w:val="16"/>
          <w:szCs w:val="16"/>
        </w:rPr>
        <w:t xml:space="preserve"> </w:t>
      </w:r>
      <w:hyperlink r:id="rId29" w:tgtFrame="_new" w:history="1">
        <w:r w:rsidR="00291E33" w:rsidRPr="00300150">
          <w:rPr>
            <w:rStyle w:val="Hyperlink"/>
            <w:rFonts w:ascii="Palatino Linotype" w:hAnsi="Palatino Linotype"/>
            <w:sz w:val="16"/>
            <w:szCs w:val="16"/>
          </w:rPr>
          <w:t>10.1177/0191453715615386</w:t>
        </w:r>
      </w:hyperlink>
    </w:p>
    <w:p w14:paraId="63E98791" w14:textId="77777777" w:rsidR="00291E3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[18]</w:t>
      </w:r>
      <w:r w:rsidRPr="00300150">
        <w:rPr>
          <w:rFonts w:ascii="Palatino Linotype" w:hAnsi="Palatino Linotype"/>
          <w:noProof/>
          <w:sz w:val="16"/>
          <w:szCs w:val="16"/>
        </w:rPr>
        <w:tab/>
      </w:r>
      <w:r w:rsidR="008A20EC" w:rsidRPr="00300150">
        <w:rPr>
          <w:rFonts w:ascii="Palatino Linotype" w:hAnsi="Palatino Linotype"/>
          <w:sz w:val="16"/>
          <w:szCs w:val="16"/>
        </w:rPr>
        <w:t xml:space="preserve">Aji, Wahyu Trisno. 2024. “Dasar-Dasar Etika Politik Franz Magnis Suseno” </w:t>
      </w:r>
      <w:r w:rsidR="008A20EC" w:rsidRPr="00300150">
        <w:rPr>
          <w:rFonts w:ascii="Palatino Linotype" w:hAnsi="Palatino Linotype"/>
          <w:i/>
          <w:iCs/>
          <w:sz w:val="16"/>
          <w:szCs w:val="16"/>
        </w:rPr>
        <w:t>Jurnal Hukum, Politik dan Ilmu Sosial</w:t>
      </w:r>
      <w:r w:rsidR="008A20EC" w:rsidRPr="00300150">
        <w:rPr>
          <w:rFonts w:ascii="Palatino Linotype" w:hAnsi="Palatino Linotype"/>
          <w:sz w:val="16"/>
          <w:szCs w:val="16"/>
        </w:rPr>
        <w:t>, Vol. 3, No. 4, 174-192.</w:t>
      </w:r>
      <w:r w:rsidR="00291E33" w:rsidRPr="00300150">
        <w:rPr>
          <w:rFonts w:ascii="Palatino Linotype" w:hAnsi="Palatino Linotype"/>
          <w:b/>
          <w:bCs/>
          <w:sz w:val="16"/>
          <w:szCs w:val="16"/>
        </w:rPr>
        <w:t xml:space="preserve"> DOI: </w:t>
      </w:r>
      <w:hyperlink r:id="rId30" w:history="1">
        <w:r w:rsidR="00291E33" w:rsidRPr="00300150">
          <w:rPr>
            <w:rStyle w:val="Hyperlink"/>
            <w:rFonts w:ascii="Palatino Linotype" w:hAnsi="Palatino Linotype"/>
            <w:sz w:val="16"/>
            <w:szCs w:val="16"/>
          </w:rPr>
          <w:t>https://doi.org/10.55606/jhpis.v3i4.4325</w:t>
        </w:r>
      </w:hyperlink>
      <w:r w:rsidR="00291E33" w:rsidRPr="00300150">
        <w:rPr>
          <w:rFonts w:ascii="Palatino Linotype" w:hAnsi="Palatino Linotype"/>
          <w:noProof/>
          <w:sz w:val="16"/>
          <w:szCs w:val="16"/>
        </w:rPr>
        <w:t xml:space="preserve"> </w:t>
      </w:r>
    </w:p>
    <w:p w14:paraId="6274C61D" w14:textId="0C79F182" w:rsidR="008A20EC"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[19]</w:t>
      </w:r>
      <w:r w:rsidRPr="00300150">
        <w:rPr>
          <w:rFonts w:ascii="Palatino Linotype" w:hAnsi="Palatino Linotype"/>
          <w:noProof/>
          <w:sz w:val="16"/>
          <w:szCs w:val="16"/>
        </w:rPr>
        <w:tab/>
      </w:r>
      <w:r w:rsidR="008A20EC" w:rsidRPr="00300150">
        <w:rPr>
          <w:rFonts w:ascii="Palatino Linotype" w:hAnsi="Palatino Linotype"/>
          <w:sz w:val="16"/>
          <w:szCs w:val="16"/>
        </w:rPr>
        <w:t xml:space="preserve">Fahmiron. 2016. “Independensi Dan Akuntabilitas Hakim Dalam Penegakan Hukum Sebagai Wujud Independensi Dan Akuntabilitas Kekuasaan Kehakiman” </w:t>
      </w:r>
      <w:r w:rsidR="008A20EC" w:rsidRPr="00300150">
        <w:rPr>
          <w:rFonts w:ascii="Palatino Linotype" w:hAnsi="Palatino Linotype"/>
          <w:i/>
          <w:iCs/>
          <w:sz w:val="16"/>
          <w:szCs w:val="16"/>
        </w:rPr>
        <w:t>Jurnal Litigasi</w:t>
      </w:r>
      <w:r w:rsidR="008A20EC" w:rsidRPr="00300150">
        <w:rPr>
          <w:rFonts w:ascii="Palatino Linotype" w:hAnsi="Palatino Linotype"/>
          <w:sz w:val="16"/>
          <w:szCs w:val="16"/>
        </w:rPr>
        <w:t>, Vol. 17, No. 2, 3467-3516</w:t>
      </w:r>
      <w:r w:rsidR="0028039F" w:rsidRPr="00300150">
        <w:rPr>
          <w:rFonts w:ascii="Palatino Linotype" w:hAnsi="Palatino Linotype"/>
          <w:sz w:val="16"/>
          <w:szCs w:val="16"/>
        </w:rPr>
        <w:t>.</w:t>
      </w:r>
      <w:r w:rsidR="008A20EC" w:rsidRPr="00300150">
        <w:rPr>
          <w:rFonts w:ascii="Palatino Linotype" w:hAnsi="Palatino Linotype"/>
          <w:noProof/>
          <w:sz w:val="16"/>
          <w:szCs w:val="16"/>
        </w:rPr>
        <w:t xml:space="preserve"> </w:t>
      </w:r>
      <w:r w:rsidR="00291E33" w:rsidRPr="00300150">
        <w:rPr>
          <w:rFonts w:ascii="Palatino Linotype" w:hAnsi="Palatino Linotype"/>
          <w:b/>
          <w:bCs/>
          <w:sz w:val="16"/>
          <w:szCs w:val="16"/>
        </w:rPr>
        <w:t>DOI</w:t>
      </w:r>
      <w:r w:rsidR="00291E33" w:rsidRPr="00300150">
        <w:rPr>
          <w:rFonts w:ascii="Palatino Linotype" w:hAnsi="Palatino Linotype"/>
          <w:sz w:val="16"/>
          <w:szCs w:val="16"/>
        </w:rPr>
        <w:t xml:space="preserve">: </w:t>
      </w:r>
      <w:hyperlink r:id="rId31" w:history="1">
        <w:r w:rsidR="00291E33" w:rsidRPr="00300150">
          <w:rPr>
            <w:rStyle w:val="Hyperlink"/>
            <w:rFonts w:ascii="Palatino Linotype" w:hAnsi="Palatino Linotype"/>
            <w:sz w:val="16"/>
            <w:szCs w:val="16"/>
          </w:rPr>
          <w:t>http://dx.doi.org/10.23969/litigasi.v17i2.158</w:t>
        </w:r>
      </w:hyperlink>
    </w:p>
    <w:p w14:paraId="59F96852" w14:textId="4D9B2E8F"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[20]</w:t>
      </w:r>
      <w:r w:rsidRPr="00300150">
        <w:rPr>
          <w:rFonts w:ascii="Palatino Linotype" w:hAnsi="Palatino Linotype"/>
          <w:noProof/>
          <w:sz w:val="16"/>
          <w:szCs w:val="16"/>
        </w:rPr>
        <w:tab/>
      </w:r>
      <w:r w:rsidR="008A20EC" w:rsidRPr="00300150">
        <w:rPr>
          <w:rFonts w:ascii="Palatino Linotype" w:hAnsi="Palatino Linotype"/>
          <w:sz w:val="16"/>
          <w:szCs w:val="16"/>
        </w:rPr>
        <w:t xml:space="preserve">Maulidah,  K.,  &amp;  Jaya,  N.  S.  P.  2019.  “Kebijakan  Formulasi  Asas  Permaafan  Hakim  Dalam Upaya Pembaharuan Hukum Pidana Nasional” </w:t>
      </w:r>
      <w:r w:rsidR="008A20EC" w:rsidRPr="00300150">
        <w:rPr>
          <w:rFonts w:ascii="Palatino Linotype" w:hAnsi="Palatino Linotype"/>
          <w:i/>
          <w:iCs/>
          <w:sz w:val="16"/>
          <w:szCs w:val="16"/>
        </w:rPr>
        <w:t>Jurnal Pembangunan Hukum Indonesia</w:t>
      </w:r>
      <w:r w:rsidR="008A20EC" w:rsidRPr="00300150">
        <w:rPr>
          <w:rFonts w:ascii="Palatino Linotype" w:hAnsi="Palatino Linotype"/>
          <w:sz w:val="16"/>
          <w:szCs w:val="16"/>
        </w:rPr>
        <w:t>, Vol. 1, No.3, 281–293.</w:t>
      </w:r>
      <w:r w:rsidR="00291E33" w:rsidRPr="00300150">
        <w:rPr>
          <w:rFonts w:ascii="Palatino Linotype" w:hAnsi="Palatino Linotype"/>
          <w:b/>
          <w:bCs/>
          <w:sz w:val="16"/>
          <w:szCs w:val="16"/>
        </w:rPr>
        <w:t xml:space="preserve"> DOI: </w:t>
      </w:r>
      <w:hyperlink r:id="rId32" w:history="1">
        <w:r w:rsidR="00291E33" w:rsidRPr="00300150">
          <w:rPr>
            <w:rStyle w:val="Hyperlink"/>
            <w:rFonts w:ascii="Palatino Linotype" w:hAnsi="Palatino Linotype"/>
            <w:sz w:val="16"/>
            <w:szCs w:val="16"/>
          </w:rPr>
          <w:t>https://doi.org/10.14710/jphi.v1i3.281-293</w:t>
        </w:r>
      </w:hyperlink>
    </w:p>
    <w:p w14:paraId="5023ED0D" w14:textId="268A0064"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[21]</w:t>
      </w:r>
      <w:r w:rsidRPr="00300150">
        <w:rPr>
          <w:rFonts w:ascii="Palatino Linotype" w:hAnsi="Palatino Linotype"/>
          <w:noProof/>
          <w:sz w:val="16"/>
          <w:szCs w:val="16"/>
        </w:rPr>
        <w:tab/>
      </w:r>
      <w:r w:rsidR="008A20EC" w:rsidRPr="00300150">
        <w:rPr>
          <w:rFonts w:ascii="Palatino Linotype" w:hAnsi="Palatino Linotype"/>
          <w:sz w:val="16"/>
          <w:szCs w:val="16"/>
        </w:rPr>
        <w:t xml:space="preserve">Nafis, Wildan., &amp; Noor Rahmad. 2020. “Hukum Progresif dan Relevansinya Pada Penalaran Hukum di Indonesia” </w:t>
      </w:r>
      <w:r w:rsidR="008A20EC" w:rsidRPr="00300150">
        <w:rPr>
          <w:rFonts w:ascii="Palatino Linotype" w:hAnsi="Palatino Linotype"/>
          <w:i/>
          <w:iCs/>
          <w:sz w:val="16"/>
          <w:szCs w:val="16"/>
        </w:rPr>
        <w:t xml:space="preserve">El Ahli: Jurnal Hukum Keluarga Islam, </w:t>
      </w:r>
      <w:r w:rsidR="008A20EC" w:rsidRPr="00300150">
        <w:rPr>
          <w:rFonts w:ascii="Palatino Linotype" w:hAnsi="Palatino Linotype"/>
          <w:sz w:val="16"/>
          <w:szCs w:val="16"/>
        </w:rPr>
        <w:t>Vol. 1, No. 2, 1-16</w:t>
      </w:r>
      <w:r w:rsidR="0028039F" w:rsidRPr="00300150">
        <w:rPr>
          <w:rFonts w:ascii="Palatino Linotype" w:hAnsi="Palatino Linotype"/>
          <w:sz w:val="16"/>
          <w:szCs w:val="16"/>
        </w:rPr>
        <w:t>.</w:t>
      </w:r>
      <w:r w:rsidR="00291E33" w:rsidRPr="00300150">
        <w:rPr>
          <w:rFonts w:ascii="Palatino Linotype" w:hAnsi="Palatino Linotype"/>
          <w:b/>
          <w:bCs/>
          <w:sz w:val="16"/>
          <w:szCs w:val="16"/>
        </w:rPr>
        <w:t xml:space="preserve"> DOI:</w:t>
      </w:r>
      <w:r w:rsidR="00291E33" w:rsidRPr="00300150">
        <w:rPr>
          <w:rFonts w:ascii="Palatino Linotype" w:hAnsi="Palatino Linotype"/>
          <w:sz w:val="16"/>
          <w:szCs w:val="16"/>
        </w:rPr>
        <w:t xml:space="preserve"> </w:t>
      </w:r>
      <w:hyperlink r:id="rId33" w:history="1">
        <w:r w:rsidR="00291E33" w:rsidRPr="00300150">
          <w:rPr>
            <w:rStyle w:val="Hyperlink"/>
            <w:rFonts w:ascii="Palatino Linotype" w:hAnsi="Palatino Linotype"/>
            <w:sz w:val="16"/>
            <w:szCs w:val="16"/>
          </w:rPr>
          <w:t>https://doi.org/10.56874/el-ahli.v1i2.133</w:t>
        </w:r>
      </w:hyperlink>
    </w:p>
    <w:p w14:paraId="0D49EEB5" w14:textId="01A364E6" w:rsidR="001A3D83" w:rsidRPr="00300150" w:rsidRDefault="001A3D83" w:rsidP="001A3D83">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[22]</w:t>
      </w:r>
      <w:r w:rsidRPr="00300150">
        <w:rPr>
          <w:rFonts w:ascii="Palatino Linotype" w:hAnsi="Palatino Linotype"/>
          <w:noProof/>
          <w:sz w:val="16"/>
          <w:szCs w:val="16"/>
        </w:rPr>
        <w:tab/>
      </w:r>
      <w:r w:rsidR="008A20EC" w:rsidRPr="00300150">
        <w:rPr>
          <w:rFonts w:ascii="Palatino Linotype" w:hAnsi="Palatino Linotype"/>
          <w:sz w:val="16"/>
          <w:szCs w:val="16"/>
        </w:rPr>
        <w:t xml:space="preserve">Adhari, Ade., Anis Widyawati., Fajar Dian Aryani., &amp; Musmuliadin. 2021. “Masalah Yuridis Tidak Ditentukannya Kualifikasi Delik dalam Ketentuan Pidana pada Undang-Undang yang Disahkan dalam Kurun Waktu 2015–2019” </w:t>
      </w:r>
      <w:r w:rsidR="008A20EC" w:rsidRPr="00300150">
        <w:rPr>
          <w:rFonts w:ascii="Palatino Linotype" w:hAnsi="Palatino Linotype"/>
          <w:i/>
          <w:iCs/>
          <w:sz w:val="16"/>
          <w:szCs w:val="16"/>
        </w:rPr>
        <w:t>Jurnal Muara Ilmu Sosial, Humaniora dan Seni</w:t>
      </w:r>
      <w:r w:rsidR="008A20EC" w:rsidRPr="00300150">
        <w:rPr>
          <w:rFonts w:ascii="Palatino Linotype" w:hAnsi="Palatino Linotype"/>
          <w:sz w:val="16"/>
          <w:szCs w:val="16"/>
        </w:rPr>
        <w:t>, Vol. 5, No. 1, 69-8</w:t>
      </w:r>
      <w:r w:rsidR="0028039F" w:rsidRPr="00300150">
        <w:rPr>
          <w:rFonts w:ascii="Palatino Linotype" w:hAnsi="Palatino Linotype"/>
          <w:sz w:val="16"/>
          <w:szCs w:val="16"/>
        </w:rPr>
        <w:t>0.</w:t>
      </w:r>
      <w:r w:rsidR="00291E33" w:rsidRPr="00300150">
        <w:rPr>
          <w:rFonts w:ascii="Palatino Linotype" w:hAnsi="Palatino Linotype"/>
          <w:b/>
          <w:bCs/>
          <w:sz w:val="16"/>
          <w:szCs w:val="16"/>
        </w:rPr>
        <w:t xml:space="preserve"> DOI: </w:t>
      </w:r>
      <w:hyperlink r:id="rId34" w:history="1">
        <w:r w:rsidR="00291E33" w:rsidRPr="00300150">
          <w:rPr>
            <w:rStyle w:val="Hyperlink"/>
            <w:rFonts w:ascii="Palatino Linotype" w:hAnsi="Palatino Linotype"/>
            <w:sz w:val="16"/>
            <w:szCs w:val="16"/>
          </w:rPr>
          <w:t>https://doi.org/10.24912/jmishumsen.v5i1.11167.2021</w:t>
        </w:r>
      </w:hyperlink>
    </w:p>
    <w:p w14:paraId="5C56CFFD" w14:textId="3A5E095C" w:rsidR="000F603F" w:rsidRPr="00300150" w:rsidRDefault="001A3D83" w:rsidP="008A20EC">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[23]</w:t>
      </w:r>
      <w:r w:rsidRPr="00300150">
        <w:rPr>
          <w:rFonts w:ascii="Palatino Linotype" w:hAnsi="Palatino Linotype"/>
          <w:noProof/>
          <w:sz w:val="16"/>
          <w:szCs w:val="16"/>
        </w:rPr>
        <w:tab/>
      </w:r>
      <w:bookmarkStart w:id="5" w:name="_Hlk212056353"/>
      <w:r w:rsidR="000F603F" w:rsidRPr="00300150">
        <w:rPr>
          <w:rFonts w:ascii="Palatino Linotype" w:hAnsi="Palatino Linotype"/>
          <w:sz w:val="16"/>
          <w:szCs w:val="16"/>
        </w:rPr>
        <w:t xml:space="preserve">Kautsar, I.A, &amp; Danang Wahyu Muhammad. 2022. “Sistem Hukum Modern Lawrance M. Friedman: Budaya Hukum Dan Perubahan Sosial Masyarakat Dari Industrial Ke Digital” </w:t>
      </w:r>
      <w:r w:rsidR="000F603F" w:rsidRPr="00300150">
        <w:rPr>
          <w:rFonts w:ascii="Palatino Linotype" w:hAnsi="Palatino Linotype"/>
          <w:i/>
          <w:iCs/>
          <w:sz w:val="16"/>
          <w:szCs w:val="16"/>
        </w:rPr>
        <w:t>Jurnal Sapientia et Virtus</w:t>
      </w:r>
      <w:r w:rsidR="000F603F" w:rsidRPr="00300150">
        <w:rPr>
          <w:rFonts w:ascii="Palatino Linotype" w:hAnsi="Palatino Linotype"/>
          <w:sz w:val="16"/>
          <w:szCs w:val="16"/>
        </w:rPr>
        <w:t>, Vol. 7, No. 2, 84-99</w:t>
      </w:r>
      <w:bookmarkEnd w:id="5"/>
      <w:r w:rsidR="003E1B0F" w:rsidRPr="00300150">
        <w:rPr>
          <w:rFonts w:ascii="Palatino Linotype" w:hAnsi="Palatino Linotype"/>
          <w:sz w:val="16"/>
          <w:szCs w:val="16"/>
        </w:rPr>
        <w:t>.</w:t>
      </w:r>
      <w:r w:rsidR="007E2A07" w:rsidRPr="00300150">
        <w:rPr>
          <w:rFonts w:ascii="Palatino Linotype" w:hAnsi="Palatino Linotype"/>
          <w:b/>
          <w:bCs/>
          <w:sz w:val="16"/>
          <w:szCs w:val="16"/>
        </w:rPr>
        <w:t xml:space="preserve"> DOI:</w:t>
      </w:r>
      <w:r w:rsidR="007E2A07" w:rsidRPr="00300150">
        <w:rPr>
          <w:rFonts w:ascii="Palatino Linotype" w:hAnsi="Palatino Linotype"/>
          <w:sz w:val="16"/>
          <w:szCs w:val="16"/>
        </w:rPr>
        <w:t xml:space="preserve"> </w:t>
      </w:r>
      <w:hyperlink r:id="rId35" w:history="1">
        <w:r w:rsidR="007E2A07" w:rsidRPr="00300150">
          <w:rPr>
            <w:rStyle w:val="Hyperlink"/>
            <w:rFonts w:ascii="Palatino Linotype" w:hAnsi="Palatino Linotype"/>
            <w:sz w:val="16"/>
            <w:szCs w:val="16"/>
          </w:rPr>
          <w:t>https://doi.org/10.37477/sev.v7i2.358</w:t>
        </w:r>
      </w:hyperlink>
    </w:p>
    <w:p w14:paraId="77539198" w14:textId="5C2BA4D9" w:rsidR="001A3D83" w:rsidRPr="00300150" w:rsidRDefault="000F603F" w:rsidP="008A20EC">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noProof/>
          <w:sz w:val="16"/>
          <w:szCs w:val="16"/>
        </w:rPr>
        <w:t xml:space="preserve">[24]   </w:t>
      </w:r>
      <w:r w:rsidR="008A20EC" w:rsidRPr="00300150">
        <w:rPr>
          <w:rFonts w:ascii="Palatino Linotype" w:hAnsi="Palatino Linotype"/>
          <w:sz w:val="16"/>
          <w:szCs w:val="16"/>
        </w:rPr>
        <w:t xml:space="preserve">Airlangga, Shandi Patria. 2019. “Hakikat Penguasa Dalam Negara Hukum Demokratis” </w:t>
      </w:r>
      <w:r w:rsidR="008A20EC" w:rsidRPr="00300150">
        <w:rPr>
          <w:rFonts w:ascii="Palatino Linotype" w:hAnsi="Palatino Linotype"/>
          <w:i/>
          <w:iCs/>
          <w:sz w:val="16"/>
          <w:szCs w:val="16"/>
        </w:rPr>
        <w:t>Jurnal CEPALO: Magister Hukum Universitas Lampung</w:t>
      </w:r>
      <w:r w:rsidR="008A20EC" w:rsidRPr="00300150">
        <w:rPr>
          <w:rFonts w:ascii="Palatino Linotype" w:hAnsi="Palatino Linotype"/>
          <w:sz w:val="16"/>
          <w:szCs w:val="16"/>
        </w:rPr>
        <w:t>, Vol. 3, No. 1, 1-10</w:t>
      </w:r>
      <w:r w:rsidR="003E1B0F" w:rsidRPr="00300150">
        <w:rPr>
          <w:rFonts w:ascii="Palatino Linotype" w:hAnsi="Palatino Linotype"/>
          <w:sz w:val="16"/>
          <w:szCs w:val="16"/>
        </w:rPr>
        <w:t>.</w:t>
      </w:r>
      <w:r w:rsidR="007E2A07" w:rsidRPr="00300150">
        <w:rPr>
          <w:rFonts w:ascii="Palatino Linotype" w:hAnsi="Palatino Linotype"/>
          <w:b/>
          <w:bCs/>
          <w:sz w:val="16"/>
          <w:szCs w:val="16"/>
        </w:rPr>
        <w:t xml:space="preserve"> DOI: </w:t>
      </w:r>
      <w:hyperlink r:id="rId36" w:history="1">
        <w:r w:rsidR="007E2A07" w:rsidRPr="00300150">
          <w:rPr>
            <w:rStyle w:val="Hyperlink"/>
            <w:rFonts w:ascii="Palatino Linotype" w:hAnsi="Palatino Linotype"/>
            <w:sz w:val="16"/>
            <w:szCs w:val="16"/>
          </w:rPr>
          <w:t>https://doi.org/10.25041/cepalo.v3no1.1783</w:t>
        </w:r>
      </w:hyperlink>
    </w:p>
    <w:p w14:paraId="3B3FF580" w14:textId="76AE3A4D" w:rsidR="000F603F" w:rsidRPr="00300150" w:rsidRDefault="000F603F" w:rsidP="008A20EC">
      <w:pPr>
        <w:widowControl w:val="0"/>
        <w:autoSpaceDE w:val="0"/>
        <w:autoSpaceDN w:val="0"/>
        <w:adjustRightInd w:val="0"/>
        <w:ind w:left="426" w:hanging="426"/>
        <w:jc w:val="both"/>
        <w:rPr>
          <w:rFonts w:ascii="Palatino Linotype" w:hAnsi="Palatino Linotype"/>
          <w:sz w:val="16"/>
          <w:szCs w:val="16"/>
        </w:rPr>
      </w:pPr>
      <w:r w:rsidRPr="00300150">
        <w:rPr>
          <w:rFonts w:ascii="Palatino Linotype" w:hAnsi="Palatino Linotype"/>
          <w:noProof/>
          <w:sz w:val="16"/>
          <w:szCs w:val="16"/>
        </w:rPr>
        <w:t xml:space="preserve">[25] </w:t>
      </w:r>
      <w:r w:rsidRPr="00300150">
        <w:rPr>
          <w:rFonts w:ascii="Palatino Linotype" w:hAnsi="Palatino Linotype"/>
          <w:noProof/>
          <w:sz w:val="16"/>
          <w:szCs w:val="16"/>
        </w:rPr>
        <w:tab/>
      </w:r>
      <w:bookmarkStart w:id="6" w:name="_Hlk212056383"/>
      <w:r w:rsidRPr="00300150">
        <w:rPr>
          <w:rFonts w:ascii="Palatino Linotype" w:hAnsi="Palatino Linotype"/>
          <w:sz w:val="16"/>
          <w:szCs w:val="16"/>
        </w:rPr>
        <w:t>Wetboek van Strafrecht, Article 9a, Staatsblad 1881, nr. 124 yang berbunyi “De rechter kan bij het opleggen van straf bepalen dat geen straf wordt opgelegd, indien hij van oordeel is dat het feit en de persoon van de dader daartoe aanleiding geven."</w:t>
      </w:r>
      <w:r w:rsidRPr="00300150">
        <w:rPr>
          <w:rFonts w:ascii="Palatino Linotype" w:hAnsi="Palatino Linotype"/>
          <w:sz w:val="16"/>
          <w:szCs w:val="16"/>
        </w:rPr>
        <w:br/>
        <w:t>(Hakim dapat memutuskan untuk tidak menjatuhkan pidana, meskipun terbukti bersalah, jika menurut hakim perbuatan dan pelaku memberi alasan untuk itu.)”</w:t>
      </w:r>
      <w:bookmarkEnd w:id="6"/>
    </w:p>
    <w:p w14:paraId="5C057026" w14:textId="2AB5372F" w:rsidR="001A3D83" w:rsidRPr="00300150" w:rsidRDefault="000F603F" w:rsidP="000F603F">
      <w:pPr>
        <w:widowControl w:val="0"/>
        <w:autoSpaceDE w:val="0"/>
        <w:autoSpaceDN w:val="0"/>
        <w:adjustRightInd w:val="0"/>
        <w:ind w:left="426" w:hanging="426"/>
        <w:jc w:val="both"/>
        <w:rPr>
          <w:rFonts w:ascii="Palatino Linotype" w:hAnsi="Palatino Linotype"/>
          <w:noProof/>
          <w:sz w:val="16"/>
          <w:szCs w:val="16"/>
        </w:rPr>
      </w:pPr>
      <w:r w:rsidRPr="00300150">
        <w:rPr>
          <w:rFonts w:ascii="Palatino Linotype" w:hAnsi="Palatino Linotype"/>
          <w:sz w:val="16"/>
          <w:szCs w:val="16"/>
        </w:rPr>
        <w:t>[26] Strafgesetzbuch (StGB) Jerman, Pasal 60 mengatur tentang kemungkinan pengampunan hakim (judicial pardon) dengan bunyi terjemahan “Section 60 – Dispensing with punishment:</w:t>
      </w:r>
      <w:r w:rsidRPr="00300150">
        <w:rPr>
          <w:rFonts w:ascii="Palatino Linotype" w:hAnsi="Palatino Linotype"/>
          <w:sz w:val="16"/>
          <w:szCs w:val="16"/>
        </w:rPr>
        <w:br/>
        <w:t>If the consequences of the offense inflicted upon the offender are so serious that the imposition of punishment would be manifestly unreasonable, the court may dispense with punishment.”</w:t>
      </w:r>
    </w:p>
    <w:p w14:paraId="57AC4C6D" w14:textId="77777777" w:rsidR="001A3D83" w:rsidRDefault="001A3D83" w:rsidP="001A3D83">
      <w:pPr>
        <w:jc w:val="both"/>
        <w:rPr>
          <w:rFonts w:ascii="Palatino Linotype" w:hAnsi="Palatino Linotype"/>
          <w:color w:val="000000"/>
          <w:sz w:val="18"/>
          <w:szCs w:val="18"/>
        </w:rPr>
      </w:pPr>
      <w:r w:rsidRPr="00300150">
        <w:rPr>
          <w:rFonts w:ascii="Palatino Linotype" w:hAnsi="Palatino Linotype"/>
          <w:color w:val="000000"/>
          <w:sz w:val="16"/>
          <w:szCs w:val="16"/>
        </w:rPr>
        <w:fldChar w:fldCharType="end"/>
      </w:r>
    </w:p>
    <w:p w14:paraId="07FCDDA6" w14:textId="57289775" w:rsidR="001A3D83" w:rsidRPr="00AD02B2" w:rsidRDefault="001A3D83" w:rsidP="001A3D83">
      <w:pPr>
        <w:rPr>
          <w:rFonts w:ascii="Palatino Linotype" w:hAnsi="Palatino Linotype"/>
          <w:b/>
          <w:bCs/>
        </w:rPr>
      </w:pPr>
      <w:r w:rsidRPr="00AD02B2">
        <w:rPr>
          <w:rStyle w:val="apple-style-span"/>
          <w:rFonts w:ascii="Palatino Linotype" w:hAnsi="Palatino Linotype"/>
          <w:b/>
          <w:color w:val="000000"/>
          <w:lang w:val="pt-BR"/>
        </w:rPr>
        <w:t xml:space="preserve">BIOGRAPHIES OF AUTHORS </w:t>
      </w:r>
      <w:r w:rsidRPr="00AD02B2">
        <w:rPr>
          <w:rFonts w:ascii="Palatino Linotype" w:hAnsi="Palatino Linotype"/>
          <w:b/>
          <w:bCs/>
        </w:rPr>
        <w:t xml:space="preserve"> </w:t>
      </w:r>
    </w:p>
    <w:p w14:paraId="4C3CE3CD" w14:textId="77777777" w:rsidR="001A3D83" w:rsidRPr="003D6B19" w:rsidRDefault="001A3D83" w:rsidP="001A3D83">
      <w:pPr>
        <w:rPr>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88"/>
      </w:tblGrid>
      <w:tr w:rsidR="001A3D83" w:rsidRPr="003D6B19" w14:paraId="78CB4209" w14:textId="77777777" w:rsidTr="0074100C">
        <w:trPr>
          <w:trHeight w:val="2569"/>
        </w:trPr>
        <w:tc>
          <w:tcPr>
            <w:tcW w:w="1951" w:type="dxa"/>
            <w:vAlign w:val="center"/>
          </w:tcPr>
          <w:p w14:paraId="56FC0DF5" w14:textId="425F0539" w:rsidR="001A3D83" w:rsidRPr="003D6B19" w:rsidRDefault="000F6E40" w:rsidP="00156A43">
            <w:pPr>
              <w:jc w:val="center"/>
              <w:rPr>
                <w:noProof/>
              </w:rPr>
            </w:pPr>
            <w:bookmarkStart w:id="7" w:name="_Hlk78354998"/>
            <w:r>
              <w:rPr>
                <w:noProof/>
              </w:rPr>
              <w:drawing>
                <wp:anchor distT="0" distB="0" distL="114300" distR="114300" simplePos="0" relativeHeight="251658240" behindDoc="1" locked="0" layoutInCell="1" allowOverlap="1" wp14:anchorId="52582669" wp14:editId="7BC4F2C7">
                  <wp:simplePos x="0" y="0"/>
                  <wp:positionH relativeFrom="column">
                    <wp:posOffset>56515</wp:posOffset>
                  </wp:positionH>
                  <wp:positionV relativeFrom="paragraph">
                    <wp:posOffset>1270</wp:posOffset>
                  </wp:positionV>
                  <wp:extent cx="981075" cy="1482074"/>
                  <wp:effectExtent l="0" t="0" r="0" b="4445"/>
                  <wp:wrapNone/>
                  <wp:docPr id="1885027697"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27697" name="Gambar 1885027697"/>
                          <pic:cNvPicPr/>
                        </pic:nvPicPr>
                        <pic:blipFill>
                          <a:blip r:embed="rId37">
                            <a:extLst>
                              <a:ext uri="{28A0092B-C50C-407E-A947-70E740481C1C}">
                                <a14:useLocalDpi xmlns:a14="http://schemas.microsoft.com/office/drawing/2010/main" val="0"/>
                              </a:ext>
                            </a:extLst>
                          </a:blip>
                          <a:stretch>
                            <a:fillRect/>
                          </a:stretch>
                        </pic:blipFill>
                        <pic:spPr>
                          <a:xfrm>
                            <a:off x="0" y="0"/>
                            <a:ext cx="981075" cy="1482074"/>
                          </a:xfrm>
                          <a:prstGeom prst="rect">
                            <a:avLst/>
                          </a:prstGeom>
                        </pic:spPr>
                      </pic:pic>
                    </a:graphicData>
                  </a:graphic>
                </wp:anchor>
              </w:drawing>
            </w:r>
          </w:p>
        </w:tc>
        <w:tc>
          <w:tcPr>
            <w:tcW w:w="7088" w:type="dxa"/>
          </w:tcPr>
          <w:p w14:paraId="1EB04BB8" w14:textId="77777777" w:rsidR="001A3D83" w:rsidRDefault="001A3D83" w:rsidP="00156A43">
            <w:pPr>
              <w:jc w:val="both"/>
              <w:rPr>
                <w:rFonts w:ascii="Palatino Linotype" w:hAnsi="Palatino Linotype"/>
                <w:b/>
                <w:bCs/>
                <w:color w:val="000000"/>
                <w:sz w:val="18"/>
                <w:szCs w:val="18"/>
              </w:rPr>
            </w:pPr>
          </w:p>
          <w:p w14:paraId="760BDB89" w14:textId="77777777" w:rsidR="0074100C" w:rsidRDefault="0074100C" w:rsidP="00156A43">
            <w:pPr>
              <w:jc w:val="both"/>
              <w:rPr>
                <w:rFonts w:ascii="Palatino Linotype" w:hAnsi="Palatino Linotype"/>
                <w:b/>
                <w:bCs/>
                <w:color w:val="000000"/>
                <w:sz w:val="18"/>
                <w:szCs w:val="18"/>
              </w:rPr>
            </w:pPr>
            <w:r w:rsidRPr="0074100C">
              <w:rPr>
                <w:rFonts w:ascii="Palatino Linotype" w:hAnsi="Palatino Linotype"/>
                <w:b/>
                <w:bCs/>
                <w:color w:val="000000"/>
                <w:sz w:val="18"/>
                <w:szCs w:val="18"/>
              </w:rPr>
              <w:t xml:space="preserve">Putu </w:t>
            </w:r>
            <w:proofErr w:type="spellStart"/>
            <w:r w:rsidRPr="0074100C">
              <w:rPr>
                <w:rFonts w:ascii="Palatino Linotype" w:hAnsi="Palatino Linotype"/>
                <w:b/>
                <w:bCs/>
                <w:color w:val="000000"/>
                <w:sz w:val="18"/>
                <w:szCs w:val="18"/>
              </w:rPr>
              <w:t>Kantiha</w:t>
            </w:r>
            <w:proofErr w:type="spellEnd"/>
            <w:r w:rsidRPr="0074100C">
              <w:rPr>
                <w:rFonts w:ascii="Palatino Linotype" w:hAnsi="Palatino Linotype"/>
                <w:b/>
                <w:bCs/>
                <w:color w:val="000000"/>
                <w:sz w:val="18"/>
                <w:szCs w:val="18"/>
              </w:rPr>
              <w:t xml:space="preserve"> Putri Amaris</w:t>
            </w:r>
          </w:p>
          <w:p w14:paraId="29CB56BC" w14:textId="694ABC0F" w:rsidR="001A3D83" w:rsidRPr="0074100C" w:rsidRDefault="0074100C" w:rsidP="00156A43">
            <w:pPr>
              <w:jc w:val="both"/>
              <w:rPr>
                <w:rFonts w:ascii="Palatino Linotype" w:hAnsi="Palatino Linotype"/>
                <w:color w:val="000000"/>
                <w:sz w:val="18"/>
                <w:szCs w:val="18"/>
              </w:rPr>
            </w:pPr>
            <w:r w:rsidRPr="0074100C">
              <w:rPr>
                <w:rFonts w:ascii="Palatino Linotype" w:hAnsi="Palatino Linotype"/>
                <w:color w:val="000000"/>
                <w:sz w:val="18"/>
                <w:szCs w:val="18"/>
              </w:rPr>
              <w:t>Bachelor of Law at Legal Studies Program, Udayana University. Stud</w:t>
            </w:r>
            <w:r w:rsidR="00E006F5">
              <w:rPr>
                <w:rFonts w:ascii="Palatino Linotype" w:hAnsi="Palatino Linotype"/>
                <w:color w:val="000000"/>
                <w:sz w:val="18"/>
                <w:szCs w:val="18"/>
              </w:rPr>
              <w:t>ied</w:t>
            </w:r>
            <w:r w:rsidRPr="0074100C">
              <w:rPr>
                <w:rFonts w:ascii="Palatino Linotype" w:hAnsi="Palatino Linotype"/>
                <w:color w:val="000000"/>
                <w:sz w:val="18"/>
                <w:szCs w:val="18"/>
              </w:rPr>
              <w:t xml:space="preserve"> Bachelor by  taking  a  concentration  in  Constitutional  Law.  Then continued her Master’s Studies at Udayana University, by taking a concentration in Criminal Law</w:t>
            </w:r>
          </w:p>
        </w:tc>
      </w:tr>
      <w:tr w:rsidR="001A3D83" w:rsidRPr="003D6B19" w14:paraId="6FE6E258" w14:textId="77777777" w:rsidTr="00156A43">
        <w:tc>
          <w:tcPr>
            <w:tcW w:w="1951" w:type="dxa"/>
          </w:tcPr>
          <w:p w14:paraId="28B14802" w14:textId="77777777" w:rsidR="001A3D83" w:rsidRPr="003D6B19" w:rsidRDefault="001A3D83" w:rsidP="00156A43">
            <w:pPr>
              <w:jc w:val="center"/>
              <w:rPr>
                <w:noProof/>
              </w:rPr>
            </w:pPr>
          </w:p>
        </w:tc>
        <w:tc>
          <w:tcPr>
            <w:tcW w:w="7088" w:type="dxa"/>
          </w:tcPr>
          <w:p w14:paraId="34244E91" w14:textId="77777777" w:rsidR="001A3D83" w:rsidRPr="003D6B19" w:rsidRDefault="001A3D83" w:rsidP="00156A43">
            <w:pPr>
              <w:jc w:val="both"/>
              <w:rPr>
                <w:b/>
                <w:bCs/>
                <w:color w:val="000000"/>
                <w:sz w:val="18"/>
                <w:szCs w:val="18"/>
              </w:rPr>
            </w:pPr>
          </w:p>
        </w:tc>
      </w:tr>
      <w:tr w:rsidR="001A3D83" w:rsidRPr="003D6B19" w14:paraId="23D5D49D" w14:textId="77777777" w:rsidTr="00E421EF">
        <w:trPr>
          <w:trHeight w:val="2297"/>
        </w:trPr>
        <w:tc>
          <w:tcPr>
            <w:tcW w:w="1951" w:type="dxa"/>
            <w:vAlign w:val="center"/>
          </w:tcPr>
          <w:p w14:paraId="078649BA" w14:textId="157BA339" w:rsidR="001A3D83" w:rsidRPr="003D6B19" w:rsidRDefault="00E421EF" w:rsidP="00156A43">
            <w:pPr>
              <w:jc w:val="center"/>
              <w:rPr>
                <w:noProof/>
              </w:rPr>
            </w:pPr>
            <w:r>
              <w:rPr>
                <w:noProof/>
              </w:rPr>
              <w:drawing>
                <wp:anchor distT="0" distB="0" distL="114300" distR="114300" simplePos="0" relativeHeight="251659264" behindDoc="1" locked="0" layoutInCell="1" allowOverlap="1" wp14:anchorId="43317F39" wp14:editId="38CD7D6A">
                  <wp:simplePos x="0" y="0"/>
                  <wp:positionH relativeFrom="column">
                    <wp:posOffset>-6985</wp:posOffset>
                  </wp:positionH>
                  <wp:positionV relativeFrom="paragraph">
                    <wp:posOffset>-22860</wp:posOffset>
                  </wp:positionV>
                  <wp:extent cx="1110615" cy="1159510"/>
                  <wp:effectExtent l="0" t="0" r="0" b="2540"/>
                  <wp:wrapNone/>
                  <wp:docPr id="1853258334"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58334" name="Gambar 1853258334"/>
                          <pic:cNvPicPr/>
                        </pic:nvPicPr>
                        <pic:blipFill>
                          <a:blip r:embed="rId38">
                            <a:extLst>
                              <a:ext uri="{28A0092B-C50C-407E-A947-70E740481C1C}">
                                <a14:useLocalDpi xmlns:a14="http://schemas.microsoft.com/office/drawing/2010/main" val="0"/>
                              </a:ext>
                            </a:extLst>
                          </a:blip>
                          <a:stretch>
                            <a:fillRect/>
                          </a:stretch>
                        </pic:blipFill>
                        <pic:spPr>
                          <a:xfrm>
                            <a:off x="0" y="0"/>
                            <a:ext cx="1110615" cy="1159510"/>
                          </a:xfrm>
                          <a:prstGeom prst="rect">
                            <a:avLst/>
                          </a:prstGeom>
                        </pic:spPr>
                      </pic:pic>
                    </a:graphicData>
                  </a:graphic>
                  <wp14:sizeRelH relativeFrom="margin">
                    <wp14:pctWidth>0</wp14:pctWidth>
                  </wp14:sizeRelH>
                  <wp14:sizeRelV relativeFrom="margin">
                    <wp14:pctHeight>0</wp14:pctHeight>
                  </wp14:sizeRelV>
                </wp:anchor>
              </w:drawing>
            </w:r>
          </w:p>
        </w:tc>
        <w:tc>
          <w:tcPr>
            <w:tcW w:w="7088" w:type="dxa"/>
          </w:tcPr>
          <w:p w14:paraId="45C70C82" w14:textId="77777777" w:rsidR="001A3D83" w:rsidRDefault="001A3D83" w:rsidP="00156A43">
            <w:pPr>
              <w:jc w:val="both"/>
              <w:rPr>
                <w:rFonts w:ascii="Palatino Linotype" w:hAnsi="Palatino Linotype"/>
                <w:b/>
                <w:bCs/>
                <w:color w:val="000000"/>
                <w:sz w:val="18"/>
                <w:szCs w:val="18"/>
              </w:rPr>
            </w:pPr>
          </w:p>
          <w:p w14:paraId="2A909689" w14:textId="77777777" w:rsidR="001A3D83" w:rsidRDefault="00E006F5" w:rsidP="00E006F5">
            <w:pPr>
              <w:jc w:val="both"/>
              <w:rPr>
                <w:rFonts w:ascii="Palatino Linotype" w:hAnsi="Palatino Linotype"/>
                <w:b/>
                <w:bCs/>
                <w:color w:val="000000"/>
                <w:sz w:val="18"/>
                <w:szCs w:val="18"/>
              </w:rPr>
            </w:pPr>
            <w:r>
              <w:rPr>
                <w:rFonts w:ascii="Palatino Linotype" w:hAnsi="Palatino Linotype"/>
                <w:b/>
                <w:bCs/>
                <w:color w:val="000000"/>
                <w:sz w:val="18"/>
                <w:szCs w:val="18"/>
              </w:rPr>
              <w:t>Diah Ratna Sari Haryanto</w:t>
            </w:r>
          </w:p>
          <w:p w14:paraId="4D139367" w14:textId="0F5BB9BC" w:rsidR="00E006F5" w:rsidRPr="00E006F5" w:rsidRDefault="00E006F5" w:rsidP="00E006F5">
            <w:pPr>
              <w:jc w:val="both"/>
              <w:rPr>
                <w:rFonts w:ascii="Palatino Linotype" w:hAnsi="Palatino Linotype"/>
                <w:color w:val="000000"/>
                <w:sz w:val="18"/>
                <w:szCs w:val="18"/>
              </w:rPr>
            </w:pPr>
            <w:r w:rsidRPr="00E006F5">
              <w:rPr>
                <w:rFonts w:ascii="Palatino Linotype" w:hAnsi="Palatino Linotype"/>
                <w:color w:val="000000"/>
                <w:sz w:val="18"/>
                <w:szCs w:val="18"/>
              </w:rPr>
              <w:t>Bachelor of Law at Legal Studies Program, Udayana University. Then continued his  Master’s  Studies  at  Udayana University.  After  completing  his  Master’s education,  he  continued  his  Doctoral  Education  in  Criminal  Law  at  Udayana University.</w:t>
            </w:r>
          </w:p>
          <w:p w14:paraId="727F9721" w14:textId="5371E88B" w:rsidR="00E006F5" w:rsidRPr="00E006F5" w:rsidRDefault="00E006F5" w:rsidP="00E006F5">
            <w:pPr>
              <w:jc w:val="both"/>
              <w:rPr>
                <w:rFonts w:ascii="Palatino Linotype" w:hAnsi="Palatino Linotype"/>
                <w:color w:val="000000"/>
                <w:sz w:val="18"/>
                <w:szCs w:val="18"/>
              </w:rPr>
            </w:pPr>
          </w:p>
        </w:tc>
      </w:tr>
      <w:bookmarkEnd w:id="7"/>
    </w:tbl>
    <w:p w14:paraId="75D6AB81" w14:textId="77777777" w:rsidR="008161B2" w:rsidRDefault="008161B2"/>
    <w:sectPr w:rsidR="008161B2" w:rsidSect="00F114DC">
      <w:type w:val="continuous"/>
      <w:pgSz w:w="11907" w:h="16840"/>
      <w:pgMar w:top="1418" w:right="1418" w:bottom="1418" w:left="1418" w:header="81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D564" w14:textId="77777777" w:rsidR="00150CD0" w:rsidRDefault="00150CD0">
      <w:r>
        <w:separator/>
      </w:r>
    </w:p>
  </w:endnote>
  <w:endnote w:type="continuationSeparator" w:id="0">
    <w:p w14:paraId="14672BAC" w14:textId="77777777" w:rsidR="00150CD0" w:rsidRDefault="0015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4725" w14:textId="77777777" w:rsidR="008161B2" w:rsidRPr="00EE7E34" w:rsidRDefault="003B7629">
    <w:pPr>
      <w:pStyle w:val="Footer"/>
      <w:jc w:val="right"/>
      <w:rPr>
        <w:color w:val="000000" w:themeColor="text1"/>
      </w:rPr>
    </w:pPr>
    <w:r w:rsidRPr="00EE7E34">
      <w:rPr>
        <w:color w:val="000000" w:themeColor="text1"/>
      </w:rPr>
      <w:fldChar w:fldCharType="begin"/>
    </w:r>
    <w:r w:rsidRPr="00EE7E34">
      <w:rPr>
        <w:color w:val="000000" w:themeColor="text1"/>
      </w:rPr>
      <w:instrText xml:space="preserve"> PAGE  \* Arabic </w:instrText>
    </w:r>
    <w:r w:rsidRPr="00EE7E34">
      <w:rPr>
        <w:color w:val="000000" w:themeColor="text1"/>
      </w:rPr>
      <w:fldChar w:fldCharType="separate"/>
    </w:r>
    <w:r>
      <w:rPr>
        <w:noProof/>
        <w:color w:val="000000" w:themeColor="text1"/>
      </w:rPr>
      <w:t>4</w:t>
    </w:r>
    <w:r w:rsidRPr="00EE7E34">
      <w:rPr>
        <w:color w:val="000000" w:themeColor="text1"/>
      </w:rPr>
      <w:fldChar w:fldCharType="end"/>
    </w:r>
  </w:p>
  <w:p w14:paraId="2787FCA8" w14:textId="77777777" w:rsidR="008161B2" w:rsidRPr="00EE7E34" w:rsidRDefault="008161B2">
    <w:pPr>
      <w:pBdr>
        <w:top w:val="nil"/>
        <w:left w:val="nil"/>
        <w:bottom w:val="nil"/>
        <w:right w:val="nil"/>
        <w:between w:val="nil"/>
      </w:pBdr>
      <w:tabs>
        <w:tab w:val="left" w:pos="2992"/>
      </w:tabs>
      <w:spacing w:before="240"/>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9EBE" w14:textId="46E94015" w:rsidR="008161B2" w:rsidRPr="00CE0B77" w:rsidRDefault="005A4E51" w:rsidP="00CE0B77">
    <w:pPr>
      <w:pBdr>
        <w:top w:val="single" w:sz="4" w:space="1" w:color="000000"/>
        <w:left w:val="nil"/>
        <w:bottom w:val="nil"/>
        <w:right w:val="nil"/>
        <w:between w:val="nil"/>
      </w:pBdr>
      <w:tabs>
        <w:tab w:val="center" w:pos="4320"/>
        <w:tab w:val="right" w:pos="8640"/>
      </w:tabs>
      <w:spacing w:before="240"/>
      <w:jc w:val="right"/>
      <w:rPr>
        <w:color w:val="000000"/>
      </w:rPr>
    </w:pPr>
    <w:r w:rsidRPr="005A4E51">
      <w:rPr>
        <w:color w:val="000000"/>
      </w:rPr>
      <w:t>Vol. xx, No. xx, Month and Year: pp. xx-xx</w:t>
    </w:r>
  </w:p>
  <w:p w14:paraId="4C82914D" w14:textId="77777777" w:rsidR="008161B2" w:rsidRPr="00EE7E34" w:rsidRDefault="008161B2" w:rsidP="00EE7E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5447" w14:textId="281BFCD7" w:rsidR="008161B2" w:rsidRDefault="003B7629">
    <w:pPr>
      <w:pBdr>
        <w:top w:val="single" w:sz="4" w:space="1" w:color="000000"/>
        <w:left w:val="nil"/>
        <w:bottom w:val="nil"/>
        <w:right w:val="nil"/>
        <w:between w:val="nil"/>
      </w:pBdr>
      <w:tabs>
        <w:tab w:val="center" w:pos="4320"/>
        <w:tab w:val="right" w:pos="8640"/>
      </w:tabs>
      <w:spacing w:before="240"/>
      <w:rPr>
        <w:i/>
        <w:color w:val="000000"/>
      </w:rPr>
    </w:pPr>
    <w:r w:rsidRPr="0051776C">
      <w:rPr>
        <w:b/>
        <w:i/>
        <w:color w:val="000000"/>
      </w:rPr>
      <w:t>Journal homepage</w:t>
    </w:r>
    <w:r w:rsidRPr="0051776C">
      <w:rPr>
        <w:i/>
        <w:color w:val="000000"/>
      </w:rPr>
      <w:t xml:space="preserve">: </w:t>
    </w:r>
    <w:r w:rsidR="0051776C" w:rsidRPr="0051776C">
      <w:rPr>
        <w:i/>
        <w:color w:val="000000"/>
      </w:rPr>
      <w:t>https://wsj.westscience-press.com/index.php/wsis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7F44" w14:textId="77777777" w:rsidR="001A3D83" w:rsidRPr="0030171C" w:rsidRDefault="001A3D83" w:rsidP="0030171C">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xx, No. xx, </w:t>
    </w:r>
    <w:r>
      <w:rPr>
        <w:color w:val="000000"/>
      </w:rPr>
      <w:t>Publish date: pp.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6A8D" w14:textId="77777777" w:rsidR="00150CD0" w:rsidRDefault="00150CD0">
      <w:r>
        <w:separator/>
      </w:r>
    </w:p>
  </w:footnote>
  <w:footnote w:type="continuationSeparator" w:id="0">
    <w:p w14:paraId="64D32F7C" w14:textId="77777777" w:rsidR="00150CD0" w:rsidRDefault="0015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7DA8" w14:textId="77777777" w:rsidR="008161B2" w:rsidRDefault="003B7629" w:rsidP="00AF5F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FB7B56" w14:textId="77777777" w:rsidR="008161B2" w:rsidRPr="00240E1B" w:rsidRDefault="003B7629" w:rsidP="00CE0B77">
    <w:pPr>
      <w:pBdr>
        <w:top w:val="nil"/>
        <w:left w:val="nil"/>
        <w:bottom w:val="nil"/>
        <w:right w:val="nil"/>
        <w:between w:val="nil"/>
      </w:pBdr>
      <w:ind w:right="360"/>
      <w:rPr>
        <w:rFonts w:ascii="Palatino Linotype" w:hAnsi="Palatino Linotype"/>
        <w:b/>
        <w:color w:val="000000"/>
        <w:sz w:val="18"/>
      </w:rPr>
    </w:pPr>
    <w:r>
      <w:rPr>
        <w:rFonts w:ascii="Palatino Linotype" w:hAnsi="Palatino Linotype"/>
        <w:b/>
        <w:color w:val="000000"/>
        <w:sz w:val="18"/>
      </w:rPr>
      <w:t>Sanskara Akuntansi dan Keuangan (SAK)</w:t>
    </w:r>
    <w:r>
      <w:rPr>
        <w:color w:val="000000"/>
      </w:rPr>
      <w:tab/>
    </w:r>
    <w:r>
      <w:rPr>
        <w:color w:val="000000"/>
      </w:rPr>
      <w:tab/>
    </w:r>
    <w:r>
      <w:rPr>
        <w:color w:val="000000"/>
      </w:rPr>
      <w:tab/>
    </w:r>
    <w:r>
      <w:rPr>
        <w:noProof/>
      </w:rPr>
      <mc:AlternateContent>
        <mc:Choice Requires="wps">
          <w:drawing>
            <wp:anchor distT="0" distB="0" distL="114300" distR="114300" simplePos="0" relativeHeight="251660288" behindDoc="0" locked="0" layoutInCell="1" hidden="0" allowOverlap="1" wp14:anchorId="0EB1D944" wp14:editId="57E8CDC8">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v="urn:schemas-microsoft-com:mac:vml" xmlns:mo="http://schemas.microsoft.com/office/mac/office/2008/main">
          <w:pict>
            <v:shapetype w14:anchorId="0A40A9BA" id="_x0000_t32" coordsize="21600,21600" o:spt="32" o:oned="t" path="m0,0l21600,21600e" filled="f">
              <v:path arrowok="t" fillok="f" o:connecttype="none"/>
              <o:lock v:ext="edit" shapetype="t"/>
            </v:shapetype>
            <v:shape id="Straight Arrow Connector 5" o:spid="_x0000_s1026" type="#_x0000_t32" style="position:absolute;margin-left:2pt;margin-top:13pt;width:436.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" strokeweight="1pt"/>
          </w:pict>
        </mc:Fallback>
      </mc:AlternateContent>
    </w:r>
    <w:r>
      <w:rPr>
        <w:color w:val="000000"/>
      </w:rPr>
      <w:tab/>
    </w:r>
    <w:r>
      <w:rPr>
        <w:color w:val="000000"/>
      </w:rPr>
      <w:tab/>
    </w:r>
    <w:r>
      <w:rPr>
        <w:color w:val="000000"/>
      </w:rPr>
      <w:tab/>
    </w:r>
    <w:r>
      <w:rPr>
        <w:color w:val="000000"/>
      </w:rPr>
      <w:tab/>
      <w:t xml:space="preserve">      </w:t>
    </w:r>
    <w:r>
      <w:sym w:font="Wingdings" w:char="F072"/>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4F3C" w14:textId="4052F237" w:rsidR="008161B2" w:rsidRDefault="003B7629" w:rsidP="00AF5F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68E7">
      <w:rPr>
        <w:rStyle w:val="PageNumber"/>
        <w:noProof/>
      </w:rPr>
      <w:t>3</w:t>
    </w:r>
    <w:r>
      <w:rPr>
        <w:rStyle w:val="PageNumber"/>
      </w:rPr>
      <w:fldChar w:fldCharType="end"/>
    </w:r>
  </w:p>
  <w:p w14:paraId="29E591FB" w14:textId="1ADED5CC" w:rsidR="008161B2" w:rsidRPr="00AD02B2" w:rsidRDefault="00E50CBF" w:rsidP="007C68E7">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E50CBF">
      <w:rPr>
        <w:rFonts w:ascii="Palatino Linotype" w:hAnsi="Palatino Linotype"/>
        <w:b/>
        <w:color w:val="000000"/>
        <w:sz w:val="18"/>
      </w:rPr>
      <w:t>West Science Interdisciplinary Studies</w:t>
    </w:r>
    <w:r w:rsidR="003B7629">
      <w:rPr>
        <w:color w:val="000000"/>
      </w:rPr>
      <w:tab/>
    </w:r>
    <w:r w:rsidR="003B7629">
      <w:rPr>
        <w:color w:val="000000"/>
      </w:rPr>
      <w:tab/>
    </w:r>
    <w:r w:rsidR="003B7629">
      <w:rPr>
        <w:noProof/>
      </w:rPr>
      <mc:AlternateContent>
        <mc:Choice Requires="wps">
          <w:drawing>
            <wp:anchor distT="0" distB="0" distL="114300" distR="114300" simplePos="0" relativeHeight="251661312" behindDoc="0" locked="0" layoutInCell="1" hidden="0" allowOverlap="1" wp14:anchorId="192B67D2" wp14:editId="313AA7ED">
              <wp:simplePos x="0" y="0"/>
              <wp:positionH relativeFrom="column">
                <wp:posOffset>25401</wp:posOffset>
              </wp:positionH>
              <wp:positionV relativeFrom="paragraph">
                <wp:posOffset>165100</wp:posOffset>
              </wp:positionV>
              <wp:extent cx="55448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v="urn:schemas-microsoft-com:mac:vml" xmlns:mo="http://schemas.microsoft.com/office/mac/office/2008/main">
          <w:pict>
            <v:shapetype w14:anchorId="48607773" id="_x0000_t32" coordsize="21600,21600" o:spt="32" o:oned="t" path="m0,0l21600,21600e" filled="f">
              <v:path arrowok="t" fillok="f" o:connecttype="none"/>
              <o:lock v:ext="edit" shapetype="t"/>
            </v:shapetype>
            <v:shape id="Straight Arrow Connector 3" o:spid="_x0000_s1026" type="#_x0000_t32" style="position:absolute;margin-left:2pt;margin-top:13pt;width:436.6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" strokeweight="1pt"/>
          </w:pict>
        </mc:Fallback>
      </mc:AlternateContent>
    </w:r>
    <w:r w:rsidR="003B7629">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33E" w14:textId="77777777" w:rsidR="007D1299" w:rsidRDefault="007D1299" w:rsidP="008878CE">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7D1299">
      <w:rPr>
        <w:rFonts w:ascii="Palatino Linotype" w:hAnsi="Palatino Linotype"/>
        <w:b/>
        <w:color w:val="000000"/>
        <w:sz w:val="18"/>
      </w:rPr>
      <w:t>West Science Interdisciplinary Studies</w:t>
    </w:r>
  </w:p>
  <w:p w14:paraId="61E914DB" w14:textId="1E6E9165" w:rsidR="008161B2" w:rsidRDefault="005A4E51" w:rsidP="008878CE">
    <w:pPr>
      <w:pBdr>
        <w:top w:val="nil"/>
        <w:left w:val="nil"/>
        <w:bottom w:val="nil"/>
        <w:right w:val="nil"/>
        <w:between w:val="nil"/>
      </w:pBdr>
      <w:tabs>
        <w:tab w:val="center" w:pos="4320"/>
        <w:tab w:val="right" w:pos="8640"/>
      </w:tabs>
      <w:ind w:right="45"/>
      <w:rPr>
        <w:color w:val="000000"/>
      </w:rPr>
    </w:pPr>
    <w:r w:rsidRPr="005A4E51">
      <w:rPr>
        <w:rFonts w:ascii="Palatino Linotype" w:hAnsi="Palatino Linotype"/>
        <w:color w:val="000000"/>
        <w:sz w:val="18"/>
      </w:rPr>
      <w:t>Vol. xx, No. xx, Month and Year: pp. xx-xx</w:t>
    </w:r>
    <w:r w:rsidR="003B7629">
      <w:rPr>
        <w:color w:val="000000"/>
      </w:rPr>
      <w:tab/>
    </w:r>
    <w:r w:rsidR="003B7629">
      <w:rPr>
        <w:color w:val="000000"/>
      </w:rPr>
      <w:tab/>
    </w:r>
  </w:p>
  <w:p w14:paraId="45D1F34B" w14:textId="77777777" w:rsidR="008161B2" w:rsidRDefault="003B7629">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59264" behindDoc="0" locked="0" layoutInCell="1" hidden="0" allowOverlap="1" wp14:anchorId="3248F143" wp14:editId="335C59BA">
              <wp:simplePos x="0" y="0"/>
              <wp:positionH relativeFrom="column">
                <wp:posOffset>12701</wp:posOffset>
              </wp:positionH>
              <wp:positionV relativeFrom="paragraph">
                <wp:posOffset>25400</wp:posOffset>
              </wp:positionV>
              <wp:extent cx="560197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v="urn:schemas-microsoft-com:mac:vml" xmlns:mo="http://schemas.microsoft.com/office/mac/office/2008/main">
          <w:pict>
            <v:shapetype w14:anchorId="22284A90" id="_x0000_t32" coordsize="21600,21600" o:spt="32" o:oned="t" path="m0,0l21600,21600e" filled="f">
              <v:path arrowok="t" fillok="f" o:connecttype="none"/>
              <o:lock v:ext="edit" shapetype="t"/>
            </v:shapetype>
            <v:shape id="Straight Arrow Connector 7" o:spid="_x0000_s1026" type="#_x0000_t32" style="position:absolute;margin-left:1pt;margin-top:2pt;width:441.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"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3D9D" w14:textId="77777777" w:rsidR="001A3D83" w:rsidRPr="0030171C" w:rsidRDefault="001A3D83" w:rsidP="008878CE">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4829A3">
      <w:rPr>
        <w:rFonts w:ascii="Palatino Linotype" w:hAnsi="Palatino Linotype"/>
        <w:b/>
        <w:color w:val="000000"/>
        <w:sz w:val="18"/>
      </w:rPr>
      <w:t>West Science Law and Human Rights</w:t>
    </w:r>
    <w:r>
      <w:rPr>
        <w:color w:val="000000"/>
      </w:rPr>
      <w:tab/>
    </w:r>
    <w:r>
      <w:rPr>
        <w:color w:val="000000"/>
      </w:rPr>
      <w:tab/>
    </w:r>
  </w:p>
  <w:p w14:paraId="5E0075A4" w14:textId="77777777" w:rsidR="001A3D83" w:rsidRDefault="001A3D83">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63360" behindDoc="0" locked="0" layoutInCell="1" hidden="0" allowOverlap="1" wp14:anchorId="449AD918" wp14:editId="03874863">
              <wp:simplePos x="0" y="0"/>
              <wp:positionH relativeFrom="column">
                <wp:posOffset>12701</wp:posOffset>
              </wp:positionH>
              <wp:positionV relativeFrom="paragraph">
                <wp:posOffset>25400</wp:posOffset>
              </wp:positionV>
              <wp:extent cx="560197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F75D393" id="_x0000_t32" coordsize="21600,21600" o:spt="32" o:oned="t" path="m,l21600,21600e" filled="f">
              <v:path arrowok="t" fillok="f" o:connecttype="none"/>
              <o:lock v:ext="edit" shapetype="t"/>
            </v:shapetype>
            <v:shape id="Straight Arrow Connector 6" o:spid="_x0000_s1026" type="#_x0000_t32" style="position:absolute;margin-left:1pt;margin-top:2pt;width:441.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2A"/>
    <w:multiLevelType w:val="multilevel"/>
    <w:tmpl w:val="8BBA0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D0E5DB4"/>
    <w:multiLevelType w:val="hybridMultilevel"/>
    <w:tmpl w:val="3B627DFE"/>
    <w:lvl w:ilvl="0" w:tplc="DFBCBCD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37A06"/>
    <w:multiLevelType w:val="hybridMultilevel"/>
    <w:tmpl w:val="F2D6B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11740782">
    <w:abstractNumId w:val="1"/>
  </w:num>
  <w:num w:numId="2" w16cid:durableId="1141263014">
    <w:abstractNumId w:val="0"/>
  </w:num>
  <w:num w:numId="3" w16cid:durableId="929583618">
    <w:abstractNumId w:val="4"/>
  </w:num>
  <w:num w:numId="4" w16cid:durableId="227809747">
    <w:abstractNumId w:val="2"/>
  </w:num>
  <w:num w:numId="5" w16cid:durableId="129792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13"/>
    <w:rsid w:val="00027390"/>
    <w:rsid w:val="0004496B"/>
    <w:rsid w:val="000C3BF3"/>
    <w:rsid w:val="000E0E4B"/>
    <w:rsid w:val="000F603F"/>
    <w:rsid w:val="000F6E40"/>
    <w:rsid w:val="00104349"/>
    <w:rsid w:val="0015016F"/>
    <w:rsid w:val="00150CD0"/>
    <w:rsid w:val="001573C5"/>
    <w:rsid w:val="00160B5E"/>
    <w:rsid w:val="001730F6"/>
    <w:rsid w:val="00175BFA"/>
    <w:rsid w:val="001A3D83"/>
    <w:rsid w:val="001A465C"/>
    <w:rsid w:val="001C5A48"/>
    <w:rsid w:val="00213EFE"/>
    <w:rsid w:val="002544DF"/>
    <w:rsid w:val="0028039F"/>
    <w:rsid w:val="00291E33"/>
    <w:rsid w:val="002C22F6"/>
    <w:rsid w:val="00300150"/>
    <w:rsid w:val="00313029"/>
    <w:rsid w:val="00392CD4"/>
    <w:rsid w:val="003A1889"/>
    <w:rsid w:val="003B4095"/>
    <w:rsid w:val="003B7629"/>
    <w:rsid w:val="003C1DC5"/>
    <w:rsid w:val="003E1B0F"/>
    <w:rsid w:val="004527E6"/>
    <w:rsid w:val="00460212"/>
    <w:rsid w:val="0049049A"/>
    <w:rsid w:val="0051776C"/>
    <w:rsid w:val="00526D2A"/>
    <w:rsid w:val="005A4E51"/>
    <w:rsid w:val="005B0E42"/>
    <w:rsid w:val="005C3AF8"/>
    <w:rsid w:val="00713D09"/>
    <w:rsid w:val="00726A2F"/>
    <w:rsid w:val="00727A1D"/>
    <w:rsid w:val="00727CD7"/>
    <w:rsid w:val="00732373"/>
    <w:rsid w:val="0074100C"/>
    <w:rsid w:val="00744D08"/>
    <w:rsid w:val="00794FA6"/>
    <w:rsid w:val="007C68E7"/>
    <w:rsid w:val="007D1299"/>
    <w:rsid w:val="007E2A07"/>
    <w:rsid w:val="007F7D15"/>
    <w:rsid w:val="00810351"/>
    <w:rsid w:val="008161B2"/>
    <w:rsid w:val="00855C81"/>
    <w:rsid w:val="00873CEE"/>
    <w:rsid w:val="008A20EC"/>
    <w:rsid w:val="008B09C7"/>
    <w:rsid w:val="00903B08"/>
    <w:rsid w:val="00996922"/>
    <w:rsid w:val="009A3613"/>
    <w:rsid w:val="009B17B1"/>
    <w:rsid w:val="009B2A69"/>
    <w:rsid w:val="00A13197"/>
    <w:rsid w:val="00A14986"/>
    <w:rsid w:val="00AE4139"/>
    <w:rsid w:val="00B00275"/>
    <w:rsid w:val="00B46A3B"/>
    <w:rsid w:val="00B55519"/>
    <w:rsid w:val="00B77C59"/>
    <w:rsid w:val="00B97785"/>
    <w:rsid w:val="00BF359F"/>
    <w:rsid w:val="00C15253"/>
    <w:rsid w:val="00C51DC2"/>
    <w:rsid w:val="00C8439F"/>
    <w:rsid w:val="00C85422"/>
    <w:rsid w:val="00CA14E2"/>
    <w:rsid w:val="00CB34F4"/>
    <w:rsid w:val="00CD1236"/>
    <w:rsid w:val="00D06268"/>
    <w:rsid w:val="00DA29A7"/>
    <w:rsid w:val="00DB41BE"/>
    <w:rsid w:val="00DC3A0A"/>
    <w:rsid w:val="00E006F5"/>
    <w:rsid w:val="00E02B5F"/>
    <w:rsid w:val="00E1401E"/>
    <w:rsid w:val="00E263D8"/>
    <w:rsid w:val="00E319AF"/>
    <w:rsid w:val="00E421EF"/>
    <w:rsid w:val="00E50CBF"/>
    <w:rsid w:val="00F114DC"/>
    <w:rsid w:val="00F7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96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361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3613"/>
    <w:pPr>
      <w:jc w:val="center"/>
    </w:pPr>
    <w:rPr>
      <w:b/>
      <w:bCs/>
      <w:sz w:val="28"/>
      <w:szCs w:val="24"/>
      <w:lang w:val="id-ID"/>
    </w:rPr>
  </w:style>
  <w:style w:type="character" w:customStyle="1" w:styleId="TitleChar">
    <w:name w:val="Title Char"/>
    <w:basedOn w:val="DefaultParagraphFont"/>
    <w:link w:val="Title"/>
    <w:rsid w:val="009A3613"/>
    <w:rPr>
      <w:rFonts w:ascii="Times New Roman" w:eastAsia="Times New Roman" w:hAnsi="Times New Roman" w:cs="Times New Roman"/>
      <w:b/>
      <w:bCs/>
      <w:sz w:val="28"/>
      <w:lang w:val="id-ID"/>
    </w:rPr>
  </w:style>
  <w:style w:type="character" w:styleId="Hyperlink">
    <w:name w:val="Hyperlink"/>
    <w:basedOn w:val="DefaultParagraphFont"/>
    <w:rsid w:val="009A3613"/>
    <w:rPr>
      <w:color w:val="0000FF"/>
      <w:u w:val="single"/>
    </w:rPr>
  </w:style>
  <w:style w:type="paragraph" w:styleId="Header">
    <w:name w:val="header"/>
    <w:basedOn w:val="Normal"/>
    <w:link w:val="HeaderChar"/>
    <w:uiPriority w:val="99"/>
    <w:rsid w:val="009A3613"/>
    <w:pPr>
      <w:tabs>
        <w:tab w:val="center" w:pos="4320"/>
        <w:tab w:val="right" w:pos="8640"/>
      </w:tabs>
    </w:pPr>
  </w:style>
  <w:style w:type="character" w:customStyle="1" w:styleId="HeaderChar">
    <w:name w:val="Header Char"/>
    <w:basedOn w:val="DefaultParagraphFont"/>
    <w:link w:val="Header"/>
    <w:uiPriority w:val="99"/>
    <w:rsid w:val="009A3613"/>
    <w:rPr>
      <w:rFonts w:ascii="Times New Roman" w:eastAsia="Times New Roman" w:hAnsi="Times New Roman" w:cs="Times New Roman"/>
      <w:sz w:val="20"/>
      <w:szCs w:val="20"/>
    </w:rPr>
  </w:style>
  <w:style w:type="paragraph" w:styleId="Footer">
    <w:name w:val="footer"/>
    <w:basedOn w:val="Normal"/>
    <w:link w:val="FooterChar"/>
    <w:uiPriority w:val="99"/>
    <w:rsid w:val="009A3613"/>
    <w:pPr>
      <w:tabs>
        <w:tab w:val="center" w:pos="4320"/>
        <w:tab w:val="right" w:pos="8640"/>
      </w:tabs>
    </w:pPr>
  </w:style>
  <w:style w:type="character" w:customStyle="1" w:styleId="FooterChar">
    <w:name w:val="Footer Char"/>
    <w:basedOn w:val="DefaultParagraphFont"/>
    <w:link w:val="Footer"/>
    <w:uiPriority w:val="99"/>
    <w:rsid w:val="009A3613"/>
    <w:rPr>
      <w:rFonts w:ascii="Times New Roman" w:eastAsia="Times New Roman" w:hAnsi="Times New Roman" w:cs="Times New Roman"/>
      <w:sz w:val="20"/>
      <w:szCs w:val="20"/>
    </w:rPr>
  </w:style>
  <w:style w:type="character" w:styleId="PageNumber">
    <w:name w:val="page number"/>
    <w:basedOn w:val="DefaultParagraphFont"/>
    <w:rsid w:val="009A3613"/>
  </w:style>
  <w:style w:type="paragraph" w:styleId="Caption">
    <w:name w:val="caption"/>
    <w:basedOn w:val="Normal"/>
    <w:next w:val="Normal"/>
    <w:uiPriority w:val="35"/>
    <w:qFormat/>
    <w:rsid w:val="009A3613"/>
    <w:pPr>
      <w:spacing w:line="480" w:lineRule="auto"/>
      <w:jc w:val="center"/>
    </w:pPr>
    <w:rPr>
      <w:i/>
      <w:iCs/>
    </w:rPr>
  </w:style>
  <w:style w:type="paragraph" w:customStyle="1" w:styleId="Default">
    <w:name w:val="Default"/>
    <w:rsid w:val="009A3613"/>
    <w:pPr>
      <w:widowControl w:val="0"/>
      <w:autoSpaceDE w:val="0"/>
      <w:autoSpaceDN w:val="0"/>
      <w:adjustRightInd w:val="0"/>
    </w:pPr>
    <w:rPr>
      <w:rFonts w:ascii="Times New Roman" w:eastAsia="Times New Roman" w:hAnsi="Times New Roman" w:cs="Angsana New"/>
      <w:color w:val="000000"/>
    </w:rPr>
  </w:style>
  <w:style w:type="character" w:customStyle="1" w:styleId="apple-style-span">
    <w:name w:val="apple-style-span"/>
    <w:basedOn w:val="DefaultParagraphFont"/>
    <w:rsid w:val="009A3613"/>
  </w:style>
  <w:style w:type="paragraph" w:styleId="ListParagraph">
    <w:name w:val="List Paragraph"/>
    <w:basedOn w:val="Normal"/>
    <w:qFormat/>
    <w:rsid w:val="009A3613"/>
    <w:pPr>
      <w:spacing w:after="200" w:line="276" w:lineRule="auto"/>
      <w:ind w:left="720"/>
      <w:contextualSpacing/>
    </w:pPr>
    <w:rPr>
      <w:rFonts w:ascii="Calibri" w:hAnsi="Calibri"/>
      <w:sz w:val="22"/>
      <w:szCs w:val="22"/>
      <w:lang w:val="en-GB" w:eastAsia="en-GB"/>
    </w:rPr>
  </w:style>
  <w:style w:type="table" w:customStyle="1" w:styleId="TabelBiasa21">
    <w:name w:val="Tabel Biasa 21"/>
    <w:basedOn w:val="TableNormal"/>
    <w:uiPriority w:val="42"/>
    <w:rsid w:val="009A3613"/>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6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544DF"/>
    <w:rPr>
      <w:color w:val="605E5C"/>
      <w:shd w:val="clear" w:color="auto" w:fill="E1DFDD"/>
    </w:rPr>
  </w:style>
  <w:style w:type="paragraph" w:styleId="FootnoteText">
    <w:name w:val="footnote text"/>
    <w:basedOn w:val="Normal"/>
    <w:link w:val="FootnoteTextChar"/>
    <w:uiPriority w:val="99"/>
    <w:unhideWhenUsed/>
    <w:rsid w:val="005B0E42"/>
    <w:rPr>
      <w:rFonts w:asciiTheme="minorHAnsi" w:eastAsiaTheme="minorHAnsi" w:hAnsiTheme="minorHAnsi" w:cstheme="minorBidi"/>
      <w:kern w:val="2"/>
      <w:lang w:val="id-ID"/>
      <w14:ligatures w14:val="standardContextual"/>
    </w:rPr>
  </w:style>
  <w:style w:type="character" w:customStyle="1" w:styleId="FootnoteTextChar">
    <w:name w:val="Footnote Text Char"/>
    <w:basedOn w:val="DefaultParagraphFont"/>
    <w:link w:val="FootnoteText"/>
    <w:uiPriority w:val="99"/>
    <w:rsid w:val="005B0E42"/>
    <w:rPr>
      <w:kern w:val="2"/>
      <w:sz w:val="20"/>
      <w:szCs w:val="20"/>
      <w:lang w:val="id-ID"/>
      <w14:ligatures w14:val="standardContextual"/>
    </w:rPr>
  </w:style>
  <w:style w:type="character" w:styleId="FootnoteReference">
    <w:name w:val="footnote reference"/>
    <w:basedOn w:val="DefaultParagraphFont"/>
    <w:uiPriority w:val="99"/>
    <w:semiHidden/>
    <w:unhideWhenUsed/>
    <w:rsid w:val="005B0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4090/hukmu.560" TargetMode="External"/><Relationship Id="rId26" Type="http://schemas.openxmlformats.org/officeDocument/2006/relationships/hyperlink" Target="https://doi.org/10.20525/ijrbs.v11i1.1670" TargetMode="External"/><Relationship Id="rId39" Type="http://schemas.openxmlformats.org/officeDocument/2006/relationships/fontTable" Target="fontTable.xml"/><Relationship Id="rId21" Type="http://schemas.openxmlformats.org/officeDocument/2006/relationships/hyperlink" Target="https://doi.org/10.69916/iuris.v1i1.40" TargetMode="External"/><Relationship Id="rId34" Type="http://schemas.openxmlformats.org/officeDocument/2006/relationships/hyperlink" Target="https://doi.org/10.24912/jmishumsen.v5i1.11167.2021" TargetMode="External"/><Relationship Id="rId7" Type="http://schemas.openxmlformats.org/officeDocument/2006/relationships/hyperlink" Target="mailto:Khanitaamaris02@gmail.com" TargetMode="External"/><Relationship Id="rId12" Type="http://schemas.openxmlformats.org/officeDocument/2006/relationships/footer" Target="footer2.xml"/><Relationship Id="rId17" Type="http://schemas.openxmlformats.org/officeDocument/2006/relationships/hyperlink" Target="https://doi.org/10.18196/ijclc.v2i3.12467" TargetMode="External"/><Relationship Id="rId25" Type="http://schemas.openxmlformats.org/officeDocument/2006/relationships/hyperlink" Target="https://doi.org/10.59581/Doktrin-widyakarya.v2i1.1936" TargetMode="External"/><Relationship Id="rId33" Type="http://schemas.openxmlformats.org/officeDocument/2006/relationships/hyperlink" Target="https://doi.org/10.56874/el-ahli.v1i2.133" TargetMode="External"/><Relationship Id="rId38"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doi.org/10.35586/jhs.v4i1.9530" TargetMode="External"/><Relationship Id="rId29" Type="http://schemas.openxmlformats.org/officeDocument/2006/relationships/hyperlink" Target="https://doi.org/10.1177/01914537156153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24002/jep.v40i2.8574" TargetMode="External"/><Relationship Id="rId32" Type="http://schemas.openxmlformats.org/officeDocument/2006/relationships/hyperlink" Target="https://doi.org/10.14710/jphi.v1i3.281-293" TargetMode="External"/><Relationship Id="rId37" Type="http://schemas.openxmlformats.org/officeDocument/2006/relationships/image" Target="media/image1.jp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doi.org/10.14710/hp.3.1.69" TargetMode="External"/><Relationship Id="rId28" Type="http://schemas.openxmlformats.org/officeDocument/2006/relationships/hyperlink" Target="https://doi.org/10.14710/lr.v13i1.15949" TargetMode="External"/><Relationship Id="rId36" Type="http://schemas.openxmlformats.org/officeDocument/2006/relationships/hyperlink" Target="https://doi.org/10.25041/cepalo.v3no1.1783" TargetMode="External"/><Relationship Id="rId10" Type="http://schemas.openxmlformats.org/officeDocument/2006/relationships/header" Target="header2.xml"/><Relationship Id="rId19" Type="http://schemas.openxmlformats.org/officeDocument/2006/relationships/hyperlink" Target="http://dx.doi.org/10.29303/ius.v8i3.820" TargetMode="External"/><Relationship Id="rId31" Type="http://schemas.openxmlformats.org/officeDocument/2006/relationships/hyperlink" Target="http://dx.doi.org/10.23969/litigasi.v17i2.15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3491/hunila.v1i1.308" TargetMode="External"/><Relationship Id="rId27" Type="http://schemas.openxmlformats.org/officeDocument/2006/relationships/hyperlink" Target="https://doi.org/10.31599/jkn.v5i2.435" TargetMode="External"/><Relationship Id="rId30" Type="http://schemas.openxmlformats.org/officeDocument/2006/relationships/hyperlink" Target="https://doi.org/10.55606/jhpis.v3i4.4325" TargetMode="External"/><Relationship Id="rId35" Type="http://schemas.openxmlformats.org/officeDocument/2006/relationships/hyperlink" Target="https://doi.org/10.37477/sev.v7i2.358" TargetMode="External"/><Relationship Id="rId8" Type="http://schemas.openxmlformats.org/officeDocument/2006/relationships/hyperlink" Target="mailto:diah_ratna@unud.ac.i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7517</Words>
  <Characters>42848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Ammar Westscience</cp:lastModifiedBy>
  <cp:revision>3</cp:revision>
  <dcterms:created xsi:type="dcterms:W3CDTF">2025-10-24T02:06:00Z</dcterms:created>
  <dcterms:modified xsi:type="dcterms:W3CDTF">2025-10-24T02:19:00Z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5298df398e1b7f6838827b82c89d80ab3a03deaf8630bf3dbe21b3b2c22dd022</vt:lpwstr>
  </property>
</Properties>
</file>